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jpg" ContentType="image/jpe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Матюшкин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1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bookmarkStart w:id="8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</w:pPr>
      <w:r>
        <w:t xml:space="preserve">Изучим информацию о mc, вызвав в командной строке man mc.</w:t>
      </w:r>
    </w:p>
    <w:p>
      <w:pPr>
        <w:numPr>
          <w:ilvl w:val="0"/>
          <w:numId w:val="1002"/>
        </w:numPr>
      </w:pPr>
      <w:r>
        <w:t xml:space="preserve">Запустим из командной строки mc, изучим его структуру и меню (рис. 1).</w:t>
      </w:r>
    </w:p>
    <w:p>
      <w:pPr>
        <w:pStyle w:val="CaptionedFigure"/>
      </w:pPr>
      <w:bookmarkStart w:id="24" w:name="fig:001"/>
      <w:r>
        <w:drawing>
          <wp:inline>
            <wp:extent cx="5334000" cy="3614002"/>
            <wp:effectExtent b="0" l="0" r="0" t="0"/>
            <wp:docPr descr="Рис. 1: Открытие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Открытие Midnight Commander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 (рис. 2), копирование/перемещение файлов (рис. 3 и рис. 4), получение информации о размере и правах доступа на файлы и/или каталоги и т.п. (рис. 5))</w:t>
      </w:r>
    </w:p>
    <w:p>
      <w:pPr>
        <w:pStyle w:val="CaptionedFigure"/>
      </w:pPr>
      <w:bookmarkStart w:id="28" w:name="fig:002"/>
      <w:r>
        <w:drawing>
          <wp:inline>
            <wp:extent cx="3588443" cy="983556"/>
            <wp:effectExtent b="0" l="0" r="0" t="0"/>
            <wp:docPr descr="Рис. 2: Выделение/отмена выделения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Выделение/отмена выделения файлов</w:t>
      </w:r>
    </w:p>
    <w:p>
      <w:pPr>
        <w:pStyle w:val="CaptionedFigure"/>
      </w:pPr>
      <w:bookmarkStart w:id="32" w:name="fig:003"/>
      <w:r>
        <w:drawing>
          <wp:inline>
            <wp:extent cx="4456739" cy="1897956"/>
            <wp:effectExtent b="0" l="0" r="0" t="0"/>
            <wp:docPr descr="Рис. 3: 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Копирование файла</w:t>
      </w:r>
    </w:p>
    <w:p>
      <w:pPr>
        <w:pStyle w:val="CaptionedFigure"/>
      </w:pPr>
      <w:bookmarkStart w:id="36" w:name="fig:004"/>
      <w:r>
        <w:drawing>
          <wp:inline>
            <wp:extent cx="4456739" cy="1913324"/>
            <wp:effectExtent b="0" l="0" r="0" t="0"/>
            <wp:docPr descr="Рис. 4: Перемещение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Перемещение файла</w:t>
      </w:r>
    </w:p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(или правой) панели. Оценим степень подробности вывода информации о файлах (рис. 5 и рис. 6).</w:t>
      </w:r>
    </w:p>
    <w:p>
      <w:pPr>
        <w:pStyle w:val="CaptionedFigure"/>
      </w:pPr>
      <w:bookmarkStart w:id="40" w:name="fig:005"/>
      <w:r>
        <w:drawing>
          <wp:inline>
            <wp:extent cx="5334000" cy="2190200"/>
            <wp:effectExtent b="0" l="0" r="0" t="0"/>
            <wp:docPr descr="Рис. 5: Информация о файлах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Информация о файлах</w:t>
      </w:r>
    </w:p>
    <w:p>
      <w:pPr>
        <w:pStyle w:val="CaptionedFigure"/>
      </w:pPr>
      <w:bookmarkStart w:id="44" w:name="fig:006"/>
      <w:r>
        <w:drawing>
          <wp:inline>
            <wp:extent cx="5334000" cy="1817865"/>
            <wp:effectExtent b="0" l="0" r="0" t="0"/>
            <wp:docPr descr="Рис. 6: Дерево каталог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Дерево каталогов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rPr>
          <w:iCs/>
          <w:i/>
        </w:rPr>
        <w:t xml:space="preserve">Файл</w:t>
      </w:r>
      <w:r>
        <w:t xml:space="preserve">, выполним:</w:t>
      </w:r>
    </w:p>
    <w:p>
      <w:pPr>
        <w:numPr>
          <w:ilvl w:val="0"/>
          <w:numId w:val="1006"/>
        </w:numPr>
        <w:pStyle w:val="Compact"/>
      </w:pPr>
      <w:r>
        <w:t xml:space="preserve">просмотр содержимого текстового файла и редактирование содержимого текстового файла, без сохранения результатов редактирования (рис. 7).</w:t>
      </w:r>
    </w:p>
    <w:p>
      <w:pPr>
        <w:numPr>
          <w:ilvl w:val="0"/>
          <w:numId w:val="1006"/>
        </w:numPr>
        <w:pStyle w:val="Compact"/>
      </w:pPr>
      <w:r>
        <w:t xml:space="preserve">создание каталога (рис. 8).</w:t>
      </w:r>
    </w:p>
    <w:p>
      <w:pPr>
        <w:numPr>
          <w:ilvl w:val="0"/>
          <w:numId w:val="1006"/>
        </w:numPr>
        <w:pStyle w:val="Compact"/>
      </w:pPr>
      <w:r>
        <w:t xml:space="preserve">копирование в файлов в созданный каталог (рис. 9).</w:t>
      </w:r>
    </w:p>
    <w:p>
      <w:pPr>
        <w:pStyle w:val="CaptionedFigure"/>
      </w:pPr>
      <w:bookmarkStart w:id="48" w:name="fig:007"/>
      <w:r>
        <w:drawing>
          <wp:inline>
            <wp:extent cx="5334000" cy="3180756"/>
            <wp:effectExtent b="0" l="0" r="0" t="0"/>
            <wp:docPr descr="Рис. 7: Работа с текстовым файло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Работа с текстовым файлом</w:t>
      </w:r>
    </w:p>
    <w:p>
      <w:pPr>
        <w:pStyle w:val="CaptionedFigure"/>
      </w:pPr>
      <w:bookmarkStart w:id="52" w:name="fig:008"/>
      <w:r>
        <w:drawing>
          <wp:inline>
            <wp:extent cx="3588443" cy="1052712"/>
            <wp:effectExtent b="0" l="0" r="0" t="0"/>
            <wp:docPr descr="Рис. 8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каталога</w:t>
      </w:r>
    </w:p>
    <w:p>
      <w:pPr>
        <w:pStyle w:val="CaptionedFigure"/>
      </w:pPr>
      <w:bookmarkStart w:id="56" w:name="fig:009"/>
      <w:r>
        <w:drawing>
          <wp:inline>
            <wp:extent cx="4456739" cy="1882588"/>
            <wp:effectExtent b="0" l="0" r="0" t="0"/>
            <wp:docPr descr="Рис. 9: Копирование файлов в каталог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файлов в каталог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iCs/>
          <w:i/>
        </w:rPr>
        <w:t xml:space="preserve">Команда</w:t>
      </w:r>
      <w:r>
        <w:t xml:space="preserve"> </w:t>
      </w:r>
      <w:r>
        <w:t xml:space="preserve">осуществим:</w:t>
      </w:r>
    </w:p>
    <w:p>
      <w:pPr>
        <w:numPr>
          <w:ilvl w:val="0"/>
          <w:numId w:val="1008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 (рис. 10 и рис. 11)</w:t>
      </w:r>
    </w:p>
    <w:p>
      <w:pPr>
        <w:numPr>
          <w:ilvl w:val="0"/>
          <w:numId w:val="1008"/>
        </w:numPr>
        <w:pStyle w:val="Compact"/>
      </w:pPr>
      <w:r>
        <w:t xml:space="preserve">переход в домашний каталог (рис. 12).</w:t>
      </w:r>
    </w:p>
    <w:p>
      <w:pPr>
        <w:numPr>
          <w:ilvl w:val="0"/>
          <w:numId w:val="1008"/>
        </w:numPr>
        <w:pStyle w:val="Compact"/>
      </w:pPr>
      <w:r>
        <w:t xml:space="preserve">анализ файла меню и файла расширений (рис. 13 и рис. 14).</w:t>
      </w:r>
    </w:p>
    <w:p>
      <w:pPr>
        <w:pStyle w:val="CaptionedFigure"/>
      </w:pPr>
      <w:bookmarkStart w:id="60" w:name="fig:010"/>
      <w:r>
        <w:drawing>
          <wp:inline>
            <wp:extent cx="4149378" cy="2566467"/>
            <wp:effectExtent b="0" l="0" r="0" t="0"/>
            <wp:docPr descr="Рис. 10: Поиск файлов с заданными условиям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8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Поиск файлов с заданными условиями</w:t>
      </w:r>
    </w:p>
    <w:p>
      <w:pPr>
        <w:pStyle w:val="CaptionedFigure"/>
      </w:pPr>
      <w:bookmarkStart w:id="64" w:name="fig:011"/>
      <w:r>
        <w:drawing>
          <wp:inline>
            <wp:extent cx="5334000" cy="1241534"/>
            <wp:effectExtent b="0" l="0" r="0" t="0"/>
            <wp:docPr descr="Рис. 11: Поиск файлов с заданными условиями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Поиск файлов с заданными условиями</w:t>
      </w:r>
    </w:p>
    <w:p>
      <w:pPr>
        <w:pStyle w:val="CaptionedFigure"/>
      </w:pPr>
      <w:bookmarkStart w:id="68" w:name="fig:012"/>
      <w:r>
        <w:drawing>
          <wp:inline>
            <wp:extent cx="5334000" cy="1052945"/>
            <wp:effectExtent b="0" l="0" r="0" t="0"/>
            <wp:docPr descr="Рис. 12: Переход в домашний каталог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Переход в домашний каталог</w:t>
      </w:r>
    </w:p>
    <w:p>
      <w:pPr>
        <w:pStyle w:val="CaptionedFigure"/>
      </w:pPr>
      <w:bookmarkStart w:id="72" w:name="fig:013"/>
      <w:r>
        <w:drawing>
          <wp:inline>
            <wp:extent cx="5334000" cy="1264012"/>
            <wp:effectExtent b="0" l="0" r="0" t="0"/>
            <wp:docPr descr="Рис. 13: Анализ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Анализ файла расширений</w:t>
      </w:r>
    </w:p>
    <w:p>
      <w:pPr>
        <w:pStyle w:val="CaptionedFigure"/>
      </w:pPr>
      <w:bookmarkStart w:id="76" w:name="fig:014"/>
      <w:r>
        <w:drawing>
          <wp:inline>
            <wp:extent cx="5334000" cy="2147365"/>
            <wp:effectExtent b="0" l="0" r="0" t="0"/>
            <wp:docPr descr="Рис. 14: Анализ файла меню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Анализ файла меню</w:t>
      </w:r>
    </w:p>
    <w:p>
      <w:pPr>
        <w:numPr>
          <w:ilvl w:val="0"/>
          <w:numId w:val="1009"/>
        </w:numPr>
        <w:pStyle w:val="Compact"/>
      </w:pPr>
      <w:r>
        <w:t xml:space="preserve">Вызовим подменю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. Освоим операции, определяющие структуру экрана mc (Full screen, Double Width, Show Hidden Files и т.д.) (рис. 15).</w:t>
      </w:r>
    </w:p>
    <w:p>
      <w:pPr>
        <w:pStyle w:val="CaptionedFigure"/>
      </w:pPr>
      <w:bookmarkStart w:id="80" w:name="fig:015"/>
      <w:r>
        <w:drawing>
          <wp:inline>
            <wp:extent cx="3588443" cy="2036268"/>
            <wp:effectExtent b="0" l="0" r="0" t="0"/>
            <wp:docPr descr="Рис. 15: Структура экрана mc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Структура экрана mc</w:t>
      </w:r>
    </w:p>
    <w:bookmarkEnd w:id="81"/>
    <w:bookmarkStart w:id="114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0"/>
        </w:numPr>
        <w:pStyle w:val="Compact"/>
      </w:pPr>
      <w:r>
        <w:t xml:space="preserve">Создадим текстовой файл</w:t>
      </w:r>
      <w:r>
        <w:t xml:space="preserve"> </w:t>
      </w:r>
      <w:r>
        <w:rPr>
          <w:iCs/>
          <w:i/>
        </w:rPr>
        <w:t xml:space="preserve">text.txt</w:t>
      </w:r>
      <w:r>
        <w:t xml:space="preserve"> </w:t>
      </w:r>
      <w:r>
        <w:t xml:space="preserve">и откроем этот файл с помощью встроенного в mc редактора (рис. 16).</w:t>
      </w:r>
    </w:p>
    <w:p>
      <w:pPr>
        <w:pStyle w:val="CaptionedFigure"/>
      </w:pPr>
      <w:bookmarkStart w:id="85" w:name="fig:016"/>
      <w:r>
        <w:drawing>
          <wp:inline>
            <wp:extent cx="5317351" cy="430305"/>
            <wp:effectExtent b="0" l="0" r="0" t="0"/>
            <wp:docPr descr="Рис. 16: Создание файла text.txt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Создание файла text.txt</w:t>
      </w:r>
    </w:p>
    <w:p>
      <w:pPr>
        <w:numPr>
          <w:ilvl w:val="0"/>
          <w:numId w:val="1011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 (рис. 17).</w:t>
      </w:r>
    </w:p>
    <w:p>
      <w:pPr>
        <w:pStyle w:val="CaptionedFigure"/>
      </w:pPr>
      <w:bookmarkStart w:id="89" w:name="fig:017"/>
      <w:r>
        <w:drawing>
          <wp:inline>
            <wp:extent cx="5334000" cy="412828"/>
            <wp:effectExtent b="0" l="0" r="0" t="0"/>
            <wp:docPr descr="Рис. 17: Заполнение файла текстом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Заполнение файла текстом</w:t>
      </w:r>
    </w:p>
    <w:p>
      <w:pPr>
        <w:numPr>
          <w:ilvl w:val="0"/>
          <w:numId w:val="1012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Удалим строку текста (рис. 18).</w:t>
      </w:r>
    </w:p>
    <w:p>
      <w:pPr>
        <w:numPr>
          <w:ilvl w:val="0"/>
          <w:numId w:val="1013"/>
        </w:numPr>
        <w:pStyle w:val="Compact"/>
      </w:pPr>
      <w:r>
        <w:t xml:space="preserve">Выделим фрагмент текста (строка 4) и скопируем его на новую строку (рис. 19).</w:t>
      </w:r>
    </w:p>
    <w:p>
      <w:pPr>
        <w:numPr>
          <w:ilvl w:val="0"/>
          <w:numId w:val="1013"/>
        </w:numPr>
        <w:pStyle w:val="Compact"/>
      </w:pPr>
      <w:r>
        <w:t xml:space="preserve">Выделим фрагмент текста (строка 3) и перенесем его на новую строку (рис. 19).</w:t>
      </w:r>
    </w:p>
    <w:p>
      <w:pPr>
        <w:numPr>
          <w:ilvl w:val="0"/>
          <w:numId w:val="1013"/>
        </w:numPr>
        <w:pStyle w:val="Compact"/>
      </w:pPr>
      <w:r>
        <w:t xml:space="preserve">Сохраним файл (рис. 20).</w:t>
      </w:r>
    </w:p>
    <w:p>
      <w:pPr>
        <w:numPr>
          <w:ilvl w:val="0"/>
          <w:numId w:val="1013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13"/>
        </w:numPr>
        <w:pStyle w:val="Compact"/>
      </w:pPr>
      <w:r>
        <w:t xml:space="preserve">Перейдем в начало и конец файла (нажав комбинацию клавиш) и напишием некоторый текст (рис. 21).</w:t>
      </w:r>
    </w:p>
    <w:p>
      <w:pPr>
        <w:numPr>
          <w:ilvl w:val="0"/>
          <w:numId w:val="1013"/>
        </w:numPr>
        <w:pStyle w:val="Compact"/>
      </w:pPr>
      <w:r>
        <w:t xml:space="preserve">Сохраним и закроем файл.</w:t>
      </w:r>
    </w:p>
    <w:p>
      <w:pPr>
        <w:pStyle w:val="CaptionedFigure"/>
      </w:pPr>
      <w:bookmarkStart w:id="93" w:name="fig:018"/>
      <w:r>
        <w:drawing>
          <wp:inline>
            <wp:extent cx="5334000" cy="522209"/>
            <wp:effectExtent b="0" l="0" r="0" t="0"/>
            <wp:docPr descr="Рис. 18: Удаление строк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Удаление строки</w:t>
      </w:r>
    </w:p>
    <w:p>
      <w:pPr>
        <w:pStyle w:val="CaptionedFigure"/>
      </w:pPr>
      <w:bookmarkStart w:id="97" w:name="fig:019"/>
      <w:r>
        <w:drawing>
          <wp:inline>
            <wp:extent cx="5334000" cy="682924"/>
            <wp:effectExtent b="0" l="0" r="0" t="0"/>
            <wp:docPr descr="Рис. 19: Копирование и перемещение на новую строку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Копирование и перемещение на новую строку</w:t>
      </w:r>
    </w:p>
    <w:p>
      <w:pPr>
        <w:pStyle w:val="CaptionedFigure"/>
      </w:pPr>
      <w:bookmarkStart w:id="101" w:name="fig:020"/>
      <w:r>
        <w:drawing>
          <wp:inline>
            <wp:extent cx="3826648" cy="891347"/>
            <wp:effectExtent b="0" l="0" r="0" t="0"/>
            <wp:docPr descr="Рис. 20: Сохранение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Сохранение файла</w:t>
      </w:r>
    </w:p>
    <w:p>
      <w:pPr>
        <w:pStyle w:val="CaptionedFigure"/>
      </w:pPr>
      <w:bookmarkStart w:id="105" w:name="fig:021"/>
      <w:r>
        <w:drawing>
          <wp:inline>
            <wp:extent cx="5334000" cy="575304"/>
            <wp:effectExtent b="0" l="0" r="0" t="0"/>
            <wp:docPr descr="Рис. 21: Переход в начало и конец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Переход в начало и конец файла</w:t>
      </w:r>
    </w:p>
    <w:p>
      <w:pPr>
        <w:numPr>
          <w:ilvl w:val="0"/>
          <w:numId w:val="1014"/>
        </w:numPr>
        <w:pStyle w:val="Compact"/>
      </w:pPr>
      <w:r>
        <w:t xml:space="preserve">Откроем файл с исходным текстом на некотором языке программирования С (рис. 22).</w:t>
      </w:r>
    </w:p>
    <w:p>
      <w:pPr>
        <w:pStyle w:val="CaptionedFigure"/>
      </w:pPr>
      <w:bookmarkStart w:id="109" w:name="fig:022"/>
      <w:r>
        <w:drawing>
          <wp:inline>
            <wp:extent cx="5186722" cy="1436914"/>
            <wp:effectExtent b="0" l="0" r="0" t="0"/>
            <wp:docPr descr="Рис. 22: Файл с текстом на С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Файл с текстом на С</w:t>
      </w:r>
    </w:p>
    <w:p>
      <w:pPr>
        <w:numPr>
          <w:ilvl w:val="0"/>
          <w:numId w:val="1015"/>
        </w:numPr>
        <w:pStyle w:val="Compact"/>
      </w:pPr>
      <w:r>
        <w:t xml:space="preserve">Используя меню редактора, включим подсветку синтаксиса, если она не включена, или выключим, если она включена (рис. 23).</w:t>
      </w:r>
    </w:p>
    <w:p>
      <w:pPr>
        <w:pStyle w:val="CaptionedFigure"/>
      </w:pPr>
      <w:bookmarkStart w:id="113" w:name="fig:023"/>
      <w:r>
        <w:drawing>
          <wp:inline>
            <wp:extent cx="5334000" cy="1411271"/>
            <wp:effectExtent b="0" l="0" r="0" t="0"/>
            <wp:docPr descr="Рис. 23: Подсветка синтаксиса" title="" id="111" name="Picture"/>
            <a:graphic>
              <a:graphicData uri="http://schemas.openxmlformats.org/drawingml/2006/picture">
                <pic:pic>
                  <pic:nvPicPr>
                    <pic:cNvPr descr="image/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Подсветка синтаксиса</w:t>
      </w:r>
    </w:p>
    <w:bookmarkEnd w:id="114"/>
    <w:bookmarkEnd w:id="115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bookmarkEnd w:id="116"/>
    <w:bookmarkStart w:id="11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numPr>
          <w:ilvl w:val="0"/>
          <w:numId w:val="1016"/>
        </w:numPr>
        <w:pStyle w:val="Compact"/>
      </w:pPr>
      <w:r>
        <w:t xml:space="preserve">В ходе этой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jp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Матюшкин Денис Владимирович (НПИбд-02-21)</dc:creator>
  <dc:language>ru-RU</dc:language>
  <cp:keywords/>
  <dcterms:created xsi:type="dcterms:W3CDTF">2022-05-12T21:11:08Z</dcterms:created>
  <dcterms:modified xsi:type="dcterms:W3CDTF">2022-05-12T21:11:08Z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Лабораторная работа №7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