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9.png" ContentType="image/png"/>
  <Override PartName="/word/media/rId45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96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</w:t>
      </w:r>
      <w:r>
        <w:t xml:space="preserve"> </w:t>
      </w:r>
      <w:r>
        <w:rPr>
          <w:iCs/>
          <w:i/>
        </w:rPr>
        <w:t xml:space="preserve">emacs</w:t>
      </w:r>
      <w:r>
        <w:t xml:space="preserve">, предварительно его скачав (рис. 1).</w:t>
      </w:r>
    </w:p>
    <w:p>
      <w:pPr>
        <w:pStyle w:val="CaptionedFigure"/>
      </w:pPr>
      <w:bookmarkStart w:id="24" w:name="fig:001"/>
      <w:r>
        <w:drawing>
          <wp:inline>
            <wp:extent cx="4779468" cy="161364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emacs</w:t>
      </w:r>
    </w:p>
    <w:p>
      <w:pPr>
        <w:numPr>
          <w:ilvl w:val="0"/>
          <w:numId w:val="1003"/>
        </w:numPr>
        <w:pStyle w:val="Compact"/>
      </w:pPr>
      <w:r>
        <w:t xml:space="preserve">Создадим файл</w:t>
      </w:r>
      <w:r>
        <w:t xml:space="preserve"> </w:t>
      </w:r>
      <w:r>
        <w:rPr>
          <w:iCs/>
          <w:i/>
        </w:rPr>
        <w:t xml:space="preserve">lab07.sh</w:t>
      </w:r>
      <w:r>
        <w:t xml:space="preserve"> </w:t>
      </w:r>
      <w:r>
        <w:t xml:space="preserve">с помощью комбинации Ctrl-x Ctrl-f и наберем текст (рис. 2).</w:t>
      </w:r>
    </w:p>
    <w:p>
      <w:pPr>
        <w:pStyle w:val="CaptionedFigure"/>
      </w:pPr>
      <w:bookmarkStart w:id="28" w:name="fig:002"/>
      <w:r>
        <w:drawing>
          <wp:inline>
            <wp:extent cx="4433687" cy="1629015"/>
            <wp:effectExtent b="0" l="0" r="0" t="0"/>
            <wp:docPr descr="Рис. 2: 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162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</w:t>
      </w:r>
    </w:p>
    <w:p>
      <w:pPr>
        <w:numPr>
          <w:ilvl w:val="0"/>
          <w:numId w:val="1004"/>
        </w:numPr>
      </w:pPr>
      <w:r>
        <w:t xml:space="preserve">Сохраним файл с помощью комбинации Ctrl-x Ctrl-s.</w:t>
      </w:r>
    </w:p>
    <w:p>
      <w:pPr>
        <w:numPr>
          <w:ilvl w:val="0"/>
          <w:numId w:val="1004"/>
        </w:numPr>
      </w:pPr>
      <w:r>
        <w:t xml:space="preserve">Проделаем с текстом стандартные процедуры редактирования, каждое действие должно осуществляться комбинацией клавиш:</w:t>
      </w:r>
    </w:p>
    <w:p>
      <w:pPr>
        <w:pStyle w:val="FirstParagraph"/>
      </w:pPr>
      <w:r>
        <w:t xml:space="preserve">4.1) Вырезжем одной командой целую строку (C-k) (рис. 3).</w:t>
      </w:r>
    </w:p>
    <w:p>
      <w:pPr>
        <w:pStyle w:val="BodyText"/>
      </w:pPr>
      <w:r>
        <w:t xml:space="preserve">4.2) Вставим эту строку в конец файла (C-y) (рис. 3).</w:t>
      </w:r>
    </w:p>
    <w:p>
      <w:pPr>
        <w:pStyle w:val="CaptionedFigure"/>
      </w:pPr>
      <w:bookmarkStart w:id="32" w:name="fig:003"/>
      <w:r>
        <w:drawing>
          <wp:inline>
            <wp:extent cx="4318426" cy="1283233"/>
            <wp:effectExtent b="0" l="0" r="0" t="0"/>
            <wp:docPr descr="Рис. 3: Вырезка и вставка стро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Вырезка и вставка строки</w:t>
      </w:r>
    </w:p>
    <w:p>
      <w:pPr>
        <w:pStyle w:val="BodyText"/>
      </w:pPr>
      <w:r>
        <w:t xml:space="preserve">4.3) Выделим область текста (C-space) (рис. 4).</w:t>
      </w:r>
    </w:p>
    <w:p>
      <w:pPr>
        <w:pStyle w:val="CaptionedFigure"/>
      </w:pPr>
      <w:bookmarkStart w:id="36" w:name="fig:004"/>
      <w:r>
        <w:drawing>
          <wp:inline>
            <wp:extent cx="4402951" cy="1283233"/>
            <wp:effectExtent b="0" l="0" r="0" t="0"/>
            <wp:docPr descr="Рис. 4: Выделение области текс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Выделение области текста</w:t>
      </w:r>
    </w:p>
    <w:p>
      <w:pPr>
        <w:pStyle w:val="BodyText"/>
      </w:pPr>
      <w:r>
        <w:t xml:space="preserve">4.4) Скопируем область в буфер обмена (M-w) и вставим область в конец файла (рис. 5).</w:t>
      </w:r>
    </w:p>
    <w:p>
      <w:pPr>
        <w:pStyle w:val="CaptionedFigure"/>
      </w:pPr>
      <w:bookmarkStart w:id="40" w:name="fig:005"/>
      <w:r>
        <w:drawing>
          <wp:inline>
            <wp:extent cx="4318426" cy="1383126"/>
            <wp:effectExtent b="0" l="0" r="0" t="0"/>
            <wp:docPr descr="Рис. 5: Копирование и вставка в конец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138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и вставка в конец файла</w:t>
      </w:r>
    </w:p>
    <w:p>
      <w:pPr>
        <w:pStyle w:val="BodyText"/>
      </w:pPr>
      <w:r>
        <w:t xml:space="preserve">4.5) Вновь выделим эту область и на этот раз вырезим её (C-w) (рис. 6).</w:t>
      </w:r>
    </w:p>
    <w:p>
      <w:pPr>
        <w:pStyle w:val="CaptionedFigure"/>
      </w:pPr>
      <w:bookmarkStart w:id="44" w:name="fig:006"/>
      <w:r>
        <w:drawing>
          <wp:inline>
            <wp:extent cx="4456739" cy="1306285"/>
            <wp:effectExtent b="0" l="0" r="0" t="0"/>
            <wp:docPr descr="Рис. 6: Вырезка выделенной области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39" cy="1306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Вырезка выделенной области</w:t>
      </w:r>
    </w:p>
    <w:p>
      <w:pPr>
        <w:pStyle w:val="BodyText"/>
      </w:pPr>
      <w:r>
        <w:t xml:space="preserve">4.6) Отменим последнее действие (C-/) (рис. 7).</w:t>
      </w:r>
    </w:p>
    <w:p>
      <w:pPr>
        <w:pStyle w:val="CaptionedFigure"/>
      </w:pPr>
      <w:bookmarkStart w:id="48" w:name="fig:007"/>
      <w:r>
        <w:drawing>
          <wp:inline>
            <wp:extent cx="4287690" cy="1383126"/>
            <wp:effectExtent b="0" l="0" r="0" t="0"/>
            <wp:docPr descr="Рис. 7: Отмена действий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138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Отмена действий</w:t>
      </w:r>
    </w:p>
    <w:p>
      <w:pPr>
        <w:numPr>
          <w:ilvl w:val="0"/>
          <w:numId w:val="1005"/>
        </w:numPr>
        <w:pStyle w:val="Compact"/>
      </w:pPr>
      <w:r>
        <w:t xml:space="preserve">Научимся использовать команды по перемещению курсора:</w:t>
      </w:r>
    </w:p>
    <w:p>
      <w:pPr>
        <w:pStyle w:val="FirstParagraph"/>
      </w:pPr>
      <w:r>
        <w:t xml:space="preserve">5.1 Переместим курсор в начало строки (C-a) (рис. 8).</w:t>
      </w:r>
    </w:p>
    <w:p>
      <w:pPr>
        <w:pStyle w:val="CaptionedFigure"/>
      </w:pPr>
      <w:bookmarkStart w:id="52" w:name="fig:008"/>
      <w:r>
        <w:drawing>
          <wp:inline>
            <wp:extent cx="4433687" cy="1390810"/>
            <wp:effectExtent b="0" l="0" r="0" t="0"/>
            <wp:docPr descr="Рис. 8: Курсор в начале строки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Курсор в начале строки</w:t>
      </w:r>
    </w:p>
    <w:p>
      <w:pPr>
        <w:pStyle w:val="BodyText"/>
      </w:pPr>
      <w:r>
        <w:t xml:space="preserve">5.2 Переместим курсор в конец строки (C-e) (рис. 9).</w:t>
      </w:r>
    </w:p>
    <w:p>
      <w:pPr>
        <w:pStyle w:val="CaptionedFigure"/>
      </w:pPr>
      <w:bookmarkStart w:id="55" w:name="fig:009"/>
      <w:r>
        <w:drawing>
          <wp:inline>
            <wp:extent cx="4287690" cy="1383126"/>
            <wp:effectExtent b="0" l="0" r="0" t="0"/>
            <wp:docPr descr="Рис. 9: Курсор в конце строки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138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9: Курсор в конце строки</w:t>
      </w:r>
    </w:p>
    <w:p>
      <w:pPr>
        <w:pStyle w:val="BodyText"/>
      </w:pPr>
      <w:r>
        <w:t xml:space="preserve">5.3 Переместим курсор в начало буфера (M-&lt;) (рис. 10).</w:t>
      </w:r>
    </w:p>
    <w:p>
      <w:pPr>
        <w:pStyle w:val="CaptionedFigure"/>
      </w:pPr>
      <w:bookmarkStart w:id="59" w:name="fig:010"/>
      <w:r>
        <w:drawing>
          <wp:inline>
            <wp:extent cx="4764100" cy="1383126"/>
            <wp:effectExtent b="0" l="0" r="0" t="0"/>
            <wp:docPr descr="Рис. 10: Курсор в начале буфер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00" cy="138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10: Курсор в начале буфера</w:t>
      </w:r>
    </w:p>
    <w:p>
      <w:pPr>
        <w:pStyle w:val="BodyText"/>
      </w:pPr>
      <w:r>
        <w:t xml:space="preserve">5.4 Переместим курсор в конец буфера (M-&gt;) (рис. 11).</w:t>
      </w:r>
    </w:p>
    <w:p>
      <w:pPr>
        <w:pStyle w:val="CaptionedFigure"/>
      </w:pPr>
      <w:bookmarkStart w:id="63" w:name="fig:011"/>
      <w:r>
        <w:drawing>
          <wp:inline>
            <wp:extent cx="4433687" cy="1398494"/>
            <wp:effectExtent b="0" l="0" r="0" t="0"/>
            <wp:docPr descr="Рис. 11: Курсор в конце буфер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1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11: Курсор в конце буфера</w:t>
      </w:r>
    </w:p>
    <w:p>
      <w:pPr>
        <w:numPr>
          <w:ilvl w:val="0"/>
          <w:numId w:val="1006"/>
        </w:numPr>
        <w:pStyle w:val="Compact"/>
      </w:pPr>
      <w:r>
        <w:t xml:space="preserve">Управление буферами:</w:t>
      </w:r>
    </w:p>
    <w:p>
      <w:pPr>
        <w:pStyle w:val="FirstParagraph"/>
      </w:pPr>
      <w:r>
        <w:t xml:space="preserve">6.1 Выведим список активных буферов на экран (C-x C-b) (рис. 12).</w:t>
      </w:r>
    </w:p>
    <w:p>
      <w:pPr>
        <w:pStyle w:val="CaptionedFigure"/>
      </w:pPr>
      <w:bookmarkStart w:id="67" w:name="fig:012"/>
      <w:r>
        <w:drawing>
          <wp:inline>
            <wp:extent cx="5334000" cy="1373562"/>
            <wp:effectExtent b="0" l="0" r="0" t="0"/>
            <wp:docPr descr="Рис. 12: Список активных буферов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12: Список активных буферов</w:t>
      </w:r>
    </w:p>
    <w:p>
      <w:pPr>
        <w:pStyle w:val="BodyText"/>
      </w:pPr>
      <w:r>
        <w:t xml:space="preserve">6.2 Переместимся во вновь открытое окно</w:t>
      </w:r>
      <w:r>
        <w:t xml:space="preserve"> </w:t>
      </w:r>
      <w:r>
        <w:rPr>
          <w:iCs/>
          <w:i/>
        </w:rPr>
        <w:t xml:space="preserve">(C-x) o</w:t>
      </w:r>
      <w:r>
        <w:t xml:space="preserve"> </w:t>
      </w:r>
      <w:r>
        <w:t xml:space="preserve">со списком открытых буферов и переключимся на буфер</w:t>
      </w:r>
      <w:r>
        <w:t xml:space="preserve"> </w:t>
      </w:r>
      <w:r>
        <w:rPr>
          <w:iCs/>
          <w:i/>
        </w:rPr>
        <w:t xml:space="preserve">Messages</w:t>
      </w:r>
      <w:r>
        <w:t xml:space="preserve"> </w:t>
      </w:r>
      <w:r>
        <w:t xml:space="preserve">(рис. 13).</w:t>
      </w:r>
    </w:p>
    <w:p>
      <w:pPr>
        <w:pStyle w:val="CaptionedFigure"/>
      </w:pPr>
      <w:bookmarkStart w:id="71" w:name="fig:013"/>
      <w:r>
        <w:drawing>
          <wp:inline>
            <wp:extent cx="5334000" cy="2860771"/>
            <wp:effectExtent b="0" l="0" r="0" t="0"/>
            <wp:docPr descr="Рис. 13: Перемещение между буферами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13: Перемещение между буферами</w:t>
      </w:r>
    </w:p>
    <w:p>
      <w:pPr>
        <w:pStyle w:val="BodyText"/>
      </w:pPr>
      <w:r>
        <w:t xml:space="preserve">6.3 Закроем это окно (C-x 0).</w:t>
      </w:r>
    </w:p>
    <w:p>
      <w:pPr>
        <w:pStyle w:val="BodyText"/>
      </w:pPr>
      <w:r>
        <w:t xml:space="preserve">6.4 Теперь вновь переключимся между буферами, но уже без вывода их списка на экран (C-x b). Откроем тот же буфер</w:t>
      </w:r>
      <w:r>
        <w:t xml:space="preserve"> </w:t>
      </w:r>
      <w:r>
        <w:rPr>
          <w:iCs/>
          <w:i/>
        </w:rPr>
        <w:t xml:space="preserve">Messages</w:t>
      </w:r>
      <w:r>
        <w:t xml:space="preserve"> </w:t>
      </w:r>
      <w:r>
        <w:t xml:space="preserve">(рис. 14).</w:t>
      </w:r>
    </w:p>
    <w:p>
      <w:pPr>
        <w:pStyle w:val="CaptionedFigure"/>
      </w:pPr>
      <w:bookmarkStart w:id="75" w:name="fig:014"/>
      <w:r>
        <w:drawing>
          <wp:inline>
            <wp:extent cx="5334000" cy="2938280"/>
            <wp:effectExtent b="0" l="0" r="0" t="0"/>
            <wp:docPr descr="Рис. 14: Перемещение между буферами без вывода списк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14: Перемещение между буферами без вывода списка</w:t>
      </w:r>
    </w:p>
    <w:p>
      <w:pPr>
        <w:numPr>
          <w:ilvl w:val="0"/>
          <w:numId w:val="1007"/>
        </w:numPr>
        <w:pStyle w:val="Compact"/>
      </w:pPr>
      <w:r>
        <w:t xml:space="preserve">Управление окнами:</w:t>
      </w:r>
    </w:p>
    <w:p>
      <w:pPr>
        <w:pStyle w:val="FirstParagraph"/>
      </w:pPr>
      <w:r>
        <w:t xml:space="preserve">7.1 Поделим фрейм на 4 части: разделим фрейм на два окна по вертикали (C-x 3), а затем каждое из этих окон на две части по горизонтали (C-x 2) (рис. 15).</w:t>
      </w:r>
    </w:p>
    <w:p>
      <w:pPr>
        <w:pStyle w:val="CaptionedFigure"/>
      </w:pPr>
      <w:bookmarkStart w:id="79" w:name="fig:015"/>
      <w:r>
        <w:drawing>
          <wp:inline>
            <wp:extent cx="5334000" cy="4519083"/>
            <wp:effectExtent b="0" l="0" r="0" t="0"/>
            <wp:docPr descr="Рис. 15: Фрейм emacs, разделенный на 4 окн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15: Фрейм emacs, разделенный на 4 окна</w:t>
      </w:r>
    </w:p>
    <w:p>
      <w:pPr>
        <w:pStyle w:val="BodyText"/>
      </w:pPr>
      <w:r>
        <w:t xml:space="preserve">7.2 В каждом из четырёх созданных окон откроем новый буфер (файл) и введем несколько строк текста (рис. 15).</w:t>
      </w:r>
    </w:p>
    <w:p>
      <w:pPr>
        <w:numPr>
          <w:ilvl w:val="0"/>
          <w:numId w:val="1008"/>
        </w:numPr>
        <w:pStyle w:val="Compact"/>
      </w:pPr>
      <w:r>
        <w:t xml:space="preserve">Режим поиска:</w:t>
      </w:r>
    </w:p>
    <w:p>
      <w:pPr>
        <w:pStyle w:val="FirstParagraph"/>
      </w:pPr>
      <w:r>
        <w:t xml:space="preserve">8.1 Переключимся в режим поиска (C-s) и найдем несколько слов, присутствующих в тексте (рис. 16).</w:t>
      </w:r>
    </w:p>
    <w:p>
      <w:pPr>
        <w:pStyle w:val="CaptionedFigure"/>
      </w:pPr>
      <w:bookmarkStart w:id="83" w:name="fig:016"/>
      <w:r>
        <w:drawing>
          <wp:inline>
            <wp:extent cx="3496235" cy="1967112"/>
            <wp:effectExtent b="0" l="0" r="0" t="0"/>
            <wp:docPr descr="Рис. 16: Режим поиск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16: Режим поиска</w:t>
      </w:r>
    </w:p>
    <w:p>
      <w:pPr>
        <w:pStyle w:val="BodyText"/>
      </w:pPr>
      <w:r>
        <w:t xml:space="preserve">8.2 Переключаемся между результатами поиска, нажимая C-s.</w:t>
      </w:r>
    </w:p>
    <w:p>
      <w:pPr>
        <w:pStyle w:val="BodyText"/>
      </w:pPr>
      <w:r>
        <w:t xml:space="preserve">8.3 Выйдем из режима поиска, нажав C-g.</w:t>
      </w:r>
    </w:p>
    <w:p>
      <w:pPr>
        <w:pStyle w:val="BodyText"/>
      </w:pPr>
      <w:r>
        <w:t xml:space="preserve">8.4 Перейдем в режим поиска и замены (M-%), введем текст, который следует найти и заменить, нажмем Enter , затем введем текст для замены. После того как будут подсвечены результаты поиска, нажмем ! для подтверждения замены (рис. 17 и рис. 18).</w:t>
      </w:r>
    </w:p>
    <w:p>
      <w:pPr>
        <w:pStyle w:val="CaptionedFigure"/>
      </w:pPr>
      <w:bookmarkStart w:id="87" w:name="fig:017"/>
      <w:r>
        <w:drawing>
          <wp:inline>
            <wp:extent cx="3465499" cy="6239435"/>
            <wp:effectExtent b="0" l="0" r="0" t="0"/>
            <wp:docPr descr="Рис. 17: Замена слов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9" cy="623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17: Замена слов</w:t>
      </w:r>
    </w:p>
    <w:p>
      <w:pPr>
        <w:pStyle w:val="CaptionedFigure"/>
      </w:pPr>
      <w:bookmarkStart w:id="91" w:name="fig:018"/>
      <w:r>
        <w:drawing>
          <wp:inline>
            <wp:extent cx="3457815" cy="1705855"/>
            <wp:effectExtent b="0" l="0" r="0" t="0"/>
            <wp:docPr descr="Рис. 18: Замена слов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18: Замена слов</w:t>
      </w:r>
    </w:p>
    <w:p>
      <w:pPr>
        <w:pStyle w:val="BodyText"/>
      </w:pPr>
      <w:r>
        <w:t xml:space="preserve">8.5 Испробуем другой режим поиска, нажав</w:t>
      </w:r>
      <w:r>
        <w:t xml:space="preserve"> </w:t>
      </w:r>
      <w:r>
        <w:rPr>
          <w:iCs/>
          <w:i/>
        </w:rPr>
        <w:t xml:space="preserve">M-s o</w:t>
      </w:r>
      <w:r>
        <w:t xml:space="preserve"> </w:t>
      </w:r>
      <w:r>
        <w:t xml:space="preserve">(рис. 19). В отличии от обычного режима создается отдельное окно со строками, где есть слово, которое мы ввели для поиска. Также можно быстро переходить по строкам через клик.</w:t>
      </w:r>
    </w:p>
    <w:p>
      <w:pPr>
        <w:pStyle w:val="CaptionedFigure"/>
      </w:pPr>
      <w:bookmarkStart w:id="95" w:name="fig:019"/>
      <w:r>
        <w:drawing>
          <wp:inline>
            <wp:extent cx="5334000" cy="1175738"/>
            <wp:effectExtent b="0" l="0" r="0" t="0"/>
            <wp:docPr descr="Рис. 19: Другой режим поиск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19: Другой режим поиска</w:t>
      </w:r>
    </w:p>
    <w:bookmarkEnd w:id="96"/>
    <w:bookmarkStart w:id="9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Кратко охарактеризуйте редактор emacs.</w:t>
      </w:r>
      <w:r>
        <w:br/>
      </w: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pStyle w:val="BodyText"/>
      </w:pPr>
      <w:r>
        <w:rPr>
          <w:bCs/>
          <w:b/>
        </w:rPr>
        <w:t xml:space="preserve">2. Какие особенности данного редактора могут сделать его сложным для освоения новичком?</w:t>
      </w:r>
      <w:r>
        <w:br/>
      </w:r>
      <w:r>
        <w:t xml:space="preserve">Для новичка может быть трудно сразу привыкнуть к тому, что в редакторе в основном используются комбинации клавиш.</w:t>
      </w:r>
    </w:p>
    <w:p>
      <w:pPr>
        <w:pStyle w:val="BodyText"/>
      </w:pPr>
      <w:r>
        <w:rPr>
          <w:bCs/>
          <w:b/>
        </w:rPr>
        <w:t xml:space="preserve">3. Своими словами опишите, что такое буфер и окно в терминологии emacs’а.</w:t>
      </w:r>
      <w:r>
        <w:br/>
      </w:r>
      <w:r>
        <w:t xml:space="preserve">Буфер - объект, который представляет какой-то текст.</w:t>
      </w:r>
      <w:r>
        <w:br/>
      </w:r>
      <w:r>
        <w:t xml:space="preserve">Окно - прямоугольная область фрейма, отображающая один из буферов.</w:t>
      </w:r>
    </w:p>
    <w:p>
      <w:pPr>
        <w:pStyle w:val="BodyText"/>
      </w:pPr>
      <w:r>
        <w:rPr>
          <w:bCs/>
          <w:b/>
        </w:rPr>
        <w:t xml:space="preserve">4. Можно ли открыть больше 10 буферов в одном окне?</w:t>
      </w:r>
      <w:r>
        <w:br/>
      </w:r>
      <w:r>
        <w:t xml:space="preserve">Да, можно.</w:t>
      </w:r>
    </w:p>
    <w:p>
      <w:pPr>
        <w:pStyle w:val="BodyText"/>
      </w:pPr>
      <w:r>
        <w:rPr>
          <w:bCs/>
          <w:b/>
        </w:rPr>
        <w:t xml:space="preserve">5. Какие буферы создаются по умолчанию при запуске emacs?</w:t>
      </w:r>
      <w:r>
        <w:br/>
      </w:r>
      <w:r>
        <w:t xml:space="preserve">Буферы по умолчанию: GNU Emacs, scratch, Messages, Compile-Log, Quail Completions</w:t>
      </w:r>
    </w:p>
    <w:p>
      <w:pPr>
        <w:pStyle w:val="BodyText"/>
      </w:pPr>
      <w:r>
        <w:rPr>
          <w:bCs/>
          <w:b/>
        </w:rPr>
        <w:t xml:space="preserve">6. Какие клавиши вы нажмёте, чтобы ввести следующую комбинацию C-c | и C-c C-|?</w:t>
      </w:r>
      <w:r>
        <w:br/>
      </w:r>
      <w:r>
        <w:t xml:space="preserve">Ответ: ctrl-f, ctrl-x</w:t>
      </w:r>
    </w:p>
    <w:p>
      <w:pPr>
        <w:pStyle w:val="BodyText"/>
      </w:pPr>
      <w:r>
        <w:rPr>
          <w:bCs/>
          <w:b/>
        </w:rPr>
        <w:t xml:space="preserve">7. Как поделить текущее окно на две части?</w:t>
      </w:r>
      <w:r>
        <w:br/>
      </w:r>
      <w:r>
        <w:t xml:space="preserve">Ответ: ctrl-x 3</w:t>
      </w:r>
    </w:p>
    <w:p>
      <w:pPr>
        <w:pStyle w:val="BodyText"/>
      </w:pPr>
      <w:r>
        <w:rPr>
          <w:bCs/>
          <w:b/>
        </w:rPr>
        <w:t xml:space="preserve">8. В каком файле хранятся настройки редактора emacs?</w:t>
      </w:r>
      <w:r>
        <w:br/>
      </w:r>
      <w:r>
        <w:t xml:space="preserve">Ответ: (~/.emacs)</w:t>
      </w:r>
    </w:p>
    <w:p>
      <w:pPr>
        <w:pStyle w:val="BodyText"/>
      </w:pPr>
      <w:r>
        <w:rPr>
          <w:bCs/>
          <w:b/>
        </w:rPr>
        <w:t xml:space="preserve">9. Какую функцию выполняет клавиша (&lt;-) и можно ли её переназначить?</w:t>
      </w:r>
      <w:r>
        <w:br/>
      </w:r>
      <w:r>
        <w:t xml:space="preserve">Удаление текста. Да, можно, но для новичка это может показаться трудным.</w:t>
      </w:r>
    </w:p>
    <w:p>
      <w:pPr>
        <w:pStyle w:val="BodyText"/>
      </w:pPr>
      <w:r>
        <w:rPr>
          <w:bCs/>
          <w:b/>
        </w:rPr>
        <w:t xml:space="preserve">10. Какой редактор вам показался удобнее в работе vi или emacs? Поясните почему.</w:t>
      </w:r>
      <w:r>
        <w:br/>
      </w:r>
      <w:r>
        <w:t xml:space="preserve">Emacs показался мне удобнее. Он более современен и функционален. Так же он гораздо более удобен в использовании. Нет случайных удалений текста как было с vi (из-за незнания). Интерфейс emacs приятнее и интуитивнее, команды более дружелюбны к пользователю.</w:t>
      </w:r>
    </w:p>
    <w:bookmarkEnd w:id="97"/>
    <w:bookmarkStart w:id="9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numPr>
          <w:ilvl w:val="0"/>
          <w:numId w:val="1009"/>
        </w:numPr>
        <w:pStyle w:val="Compact"/>
      </w:pPr>
      <w:r>
        <w:t xml:space="preserve">В ходе этой лабораторной работы мы познакомились с операционной системой Linux. Получили практические навыки работы с редактором Emacs.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2022-05-17T20:32:27Z</dcterms:created>
  <dcterms:modified xsi:type="dcterms:W3CDTF">2022-05-17T20:32:27Z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Лабораторная работа №9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