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</w:t>
      </w:r>
    </w:p>
    <w:p>
      <w:pPr>
        <w:pStyle w:val="Subtitle"/>
      </w:pPr>
      <w:r>
        <w:t xml:space="preserve">Лабораторная работа №5</w:t>
      </w:r>
    </w:p>
    <w:p>
      <w:pPr>
        <w:pStyle w:val="Author"/>
      </w:pPr>
      <w:r>
        <w:t xml:space="preserve">Матюшкин Денис Владимирович 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 для операционных систем Windows, Linux, FreeBSD, macOS, Solaris/OpenSolaris, ReactOS, DOS и других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8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Start w:id="62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Создайте программу simpleid.c (рис. 1).</w:t>
      </w:r>
    </w:p>
    <w:bookmarkStart w:id="25" w:name="fig:001"/>
    <w:p>
      <w:pPr>
        <w:pStyle w:val="CaptionedFigure"/>
      </w:pPr>
      <w:r>
        <w:drawing>
          <wp:inline>
            <wp:extent cx="5334000" cy="2160798"/>
            <wp:effectExtent b="0" l="0" r="0" t="0"/>
            <wp:docPr descr="Рис. 1: simpleid.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simpleid.c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Скомплилируйте программу и убедитесь, что файл программы создан. Выполните программу simpleid и выполните системную программу id (рис. 2). Полученные результаты совпадают.</w:t>
      </w:r>
    </w:p>
    <w:bookmarkStart w:id="29" w:name="fig:002"/>
    <w:p>
      <w:pPr>
        <w:pStyle w:val="CaptionedFigure"/>
      </w:pPr>
      <w:r>
        <w:drawing>
          <wp:inline>
            <wp:extent cx="5334000" cy="2899691"/>
            <wp:effectExtent b="0" l="0" r="0" t="0"/>
            <wp:docPr descr="Рис. 2: Выполнение программы simplei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программы simpleid</w:t>
      </w:r>
    </w:p>
    <w:bookmarkEnd w:id="29"/>
    <w:p>
      <w:pPr>
        <w:numPr>
          <w:ilvl w:val="0"/>
          <w:numId w:val="1003"/>
        </w:numPr>
      </w:pPr>
      <w:r>
        <w:t xml:space="preserve">Усложните программу, добавив вывод действительных идентификаторов (рис. 2).</w:t>
      </w:r>
    </w:p>
    <w:p>
      <w:pPr>
        <w:numPr>
          <w:ilvl w:val="0"/>
          <w:numId w:val="1003"/>
        </w:numPr>
      </w:pPr>
      <w:r>
        <w:t xml:space="preserve">Скомпилируйте и запустите simpleid2.c (рис. 3).</w:t>
      </w:r>
    </w:p>
    <w:bookmarkStart w:id="33" w:name="fig:003"/>
    <w:p>
      <w:pPr>
        <w:pStyle w:val="CaptionedFigure"/>
      </w:pPr>
      <w:r>
        <w:drawing>
          <wp:inline>
            <wp:extent cx="5334000" cy="503067"/>
            <wp:effectExtent b="0" l="0" r="0" t="0"/>
            <wp:docPr descr="Рис. 3: Выполнение программы simpleid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 simpleid2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От имени суперпользователя выполните команды (рис. 4). Эти команды меняют владельца файла и устанавливают SetUID бит.</w:t>
      </w:r>
    </w:p>
    <w:bookmarkStart w:id="37" w:name="fig:004"/>
    <w:p>
      <w:pPr>
        <w:pStyle w:val="CaptionedFigure"/>
      </w:pPr>
      <w:r>
        <w:drawing>
          <wp:inline>
            <wp:extent cx="5334000" cy="644684"/>
            <wp:effectExtent b="0" l="0" r="0" t="0"/>
            <wp:docPr descr="Рис. 4: Выполнение команд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simpleid2. Запустите simpleid2 и id (рис. 5).</w:t>
      </w:r>
    </w:p>
    <w:bookmarkStart w:id="41" w:name="fig:005"/>
    <w:p>
      <w:pPr>
        <w:pStyle w:val="CaptionedFigure"/>
      </w:pPr>
      <w:r>
        <w:drawing>
          <wp:inline>
            <wp:extent cx="5334000" cy="975644"/>
            <wp:effectExtent b="0" l="0" r="0" t="0"/>
            <wp:docPr descr="Рис. 5: Проверка атрибутов и 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атрибутов и запуск программы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Проделайте тоже самое относительно SetGID-бита (рис. 6 и 7).</w:t>
      </w:r>
    </w:p>
    <w:bookmarkStart w:id="45" w:name="fig:006"/>
    <w:p>
      <w:pPr>
        <w:pStyle w:val="CaptionedFigure"/>
      </w:pPr>
      <w:r>
        <w:drawing>
          <wp:inline>
            <wp:extent cx="4787152" cy="291993"/>
            <wp:effectExtent b="0" l="0" r="0" t="0"/>
            <wp:docPr descr="Рис. 6: Установка SetGID-би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SetGID-бита</w:t>
      </w:r>
    </w:p>
    <w:bookmarkEnd w:id="45"/>
    <w:bookmarkStart w:id="49" w:name="fig:007"/>
    <w:p>
      <w:pPr>
        <w:pStyle w:val="CaptionedFigure"/>
      </w:pPr>
      <w:r>
        <w:drawing>
          <wp:inline>
            <wp:extent cx="5334000" cy="867035"/>
            <wp:effectExtent b="0" l="0" r="0" t="0"/>
            <wp:docPr descr="Рис. 7: Проверка атрибутов и запуск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атрибутов и запуск программы</w:t>
      </w:r>
    </w:p>
    <w:bookmarkEnd w:id="49"/>
    <w:p>
      <w:pPr>
        <w:pStyle w:val="Compact"/>
        <w:numPr>
          <w:ilvl w:val="0"/>
          <w:numId w:val="1007"/>
        </w:numPr>
      </w:pPr>
      <w:r>
        <w:t xml:space="preserve">Создайте программу readfile.c. Откомпилируйте её (рис. 8).</w:t>
      </w:r>
    </w:p>
    <w:bookmarkStart w:id="53" w:name="fig:008"/>
    <w:p>
      <w:pPr>
        <w:pStyle w:val="CaptionedFigure"/>
      </w:pPr>
      <w:r>
        <w:drawing>
          <wp:inline>
            <wp:extent cx="4902413" cy="3465499"/>
            <wp:effectExtent b="0" l="0" r="0" t="0"/>
            <wp:docPr descr="Рис. 8: readfile.c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346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readfile.c</w:t>
      </w:r>
    </w:p>
    <w:bookmarkEnd w:id="53"/>
    <w:p>
      <w:pPr>
        <w:pStyle w:val="Compact"/>
        <w:numPr>
          <w:ilvl w:val="0"/>
          <w:numId w:val="1008"/>
        </w:numPr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 (рис. 9).</w:t>
      </w:r>
    </w:p>
    <w:bookmarkStart w:id="57" w:name="fig:009"/>
    <w:p>
      <w:pPr>
        <w:pStyle w:val="CaptionedFigure"/>
      </w:pPr>
      <w:r>
        <w:drawing>
          <wp:inline>
            <wp:extent cx="5334000" cy="426720"/>
            <wp:effectExtent b="0" l="0" r="0" t="0"/>
            <wp:docPr descr="Рис. 9: Смена владельца и установка SetUID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владельца и установка SetUID</w:t>
      </w:r>
    </w:p>
    <w:bookmarkEnd w:id="57"/>
    <w:p>
      <w:pPr>
        <w:pStyle w:val="Compact"/>
        <w:numPr>
          <w:ilvl w:val="0"/>
          <w:numId w:val="1009"/>
        </w:numPr>
      </w:pPr>
      <w:r>
        <w:t xml:space="preserve">Проверьте, что пользователь guest не может прочитать файл readfile.c (рис. 10).</w:t>
      </w:r>
    </w:p>
    <w:bookmarkStart w:id="61" w:name="fig:010"/>
    <w:p>
      <w:pPr>
        <w:pStyle w:val="CaptionedFigure"/>
      </w:pPr>
      <w:r>
        <w:drawing>
          <wp:inline>
            <wp:extent cx="4771784" cy="4295374"/>
            <wp:effectExtent b="0" l="0" r="0" t="0"/>
            <wp:docPr descr="Рис. 10: Проверк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42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bookmarkEnd w:id="61"/>
    <w:p>
      <w:pPr>
        <w:numPr>
          <w:ilvl w:val="0"/>
          <w:numId w:val="1010"/>
        </w:numPr>
      </w:pPr>
      <w:r>
        <w:t xml:space="preserve">Смените у программы readfile владельца и установите SetUID-бит (рис. 9).</w:t>
      </w:r>
    </w:p>
    <w:p>
      <w:pPr>
        <w:numPr>
          <w:ilvl w:val="0"/>
          <w:numId w:val="1010"/>
        </w:numPr>
      </w:pPr>
      <w:r>
        <w:t xml:space="preserve">Проверьте, может ли программа readfile прочитать файл readfile.c (рис. 10).</w:t>
      </w:r>
    </w:p>
    <w:p>
      <w:pPr>
        <w:numPr>
          <w:ilvl w:val="0"/>
          <w:numId w:val="1010"/>
        </w:numPr>
      </w:pPr>
      <w:r>
        <w:t xml:space="preserve">Проверьте, может ли программа readfile прочитать файл /etc/shadow (рис. 10).</w:t>
      </w:r>
    </w:p>
    <w:p>
      <w:pPr>
        <w:pStyle w:val="FirstParagraph"/>
      </w:pPr>
      <w:r>
        <w:t xml:space="preserve">Команды выполняются, т.к. Setuid – это бит разрешения, который позволяет пользователю запускать исполняемый файл с правами владельца этого файла.</w:t>
      </w:r>
    </w:p>
    <w:bookmarkEnd w:id="62"/>
    <w:bookmarkStart w:id="83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1"/>
        </w:numPr>
      </w:pPr>
      <w:r>
        <w:t xml:space="preserve">Выясните, установлен ли атрибут Sticky на директории /tmp (рис. 11).</w:t>
      </w:r>
    </w:p>
    <w:p>
      <w:pPr>
        <w:numPr>
          <w:ilvl w:val="0"/>
          <w:numId w:val="1011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 (рис. 11).</w:t>
      </w:r>
    </w:p>
    <w:p>
      <w:pPr>
        <w:numPr>
          <w:ilvl w:val="0"/>
          <w:numId w:val="1011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 (рис. 11).</w:t>
      </w:r>
    </w:p>
    <w:bookmarkStart w:id="66" w:name="fig:011"/>
    <w:p>
      <w:pPr>
        <w:pStyle w:val="CaptionedFigure"/>
      </w:pPr>
      <w:r>
        <w:drawing>
          <wp:inline>
            <wp:extent cx="5063778" cy="1160289"/>
            <wp:effectExtent b="0" l="0" r="0" t="0"/>
            <wp:docPr descr="Рис. 11: Работа в директории /tmp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в директории /tmp</w:t>
      </w:r>
    </w:p>
    <w:bookmarkEnd w:id="66"/>
    <w:p>
      <w:pPr>
        <w:numPr>
          <w:ilvl w:val="0"/>
          <w:numId w:val="1012"/>
        </w:numPr>
      </w:pPr>
      <w:r>
        <w:t xml:space="preserve">От пользователя guest2 (не являющегося владельцем) попробуйте прочитать файл /tmp/file01.txt (рис. 12).</w:t>
      </w:r>
    </w:p>
    <w:p>
      <w:pPr>
        <w:numPr>
          <w:ilvl w:val="0"/>
          <w:numId w:val="1012"/>
        </w:numPr>
      </w:pPr>
      <w:r>
        <w:t xml:space="preserve">От пользователя guest2 попробуйте дозаписать в файл /tmp/file01.txt слово test2 (рис. 12).</w:t>
      </w:r>
    </w:p>
    <w:p>
      <w:pPr>
        <w:numPr>
          <w:ilvl w:val="0"/>
          <w:numId w:val="1012"/>
        </w:numPr>
      </w:pPr>
      <w:r>
        <w:t xml:space="preserve">Проверьте содержимое файла командой (рис. 12).</w:t>
      </w:r>
    </w:p>
    <w:p>
      <w:pPr>
        <w:numPr>
          <w:ilvl w:val="0"/>
          <w:numId w:val="1012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(рис. 12).</w:t>
      </w:r>
    </w:p>
    <w:p>
      <w:pPr>
        <w:numPr>
          <w:ilvl w:val="0"/>
          <w:numId w:val="1012"/>
        </w:numPr>
      </w:pPr>
      <w:r>
        <w:t xml:space="preserve">Проверьте содержимое файла командой (рис. 12).</w:t>
      </w:r>
    </w:p>
    <w:p>
      <w:pPr>
        <w:numPr>
          <w:ilvl w:val="0"/>
          <w:numId w:val="1012"/>
        </w:numPr>
      </w:pPr>
      <w:r>
        <w:t xml:space="preserve">От пользователя guest2 попробуйте удалить файл /tmp/file01.txt (рис. 12).</w:t>
      </w:r>
    </w:p>
    <w:bookmarkStart w:id="70" w:name="fig:012"/>
    <w:p>
      <w:pPr>
        <w:pStyle w:val="CaptionedFigure"/>
      </w:pPr>
      <w:r>
        <w:drawing>
          <wp:inline>
            <wp:extent cx="4664208" cy="1306285"/>
            <wp:effectExtent b="0" l="0" r="0" t="0"/>
            <wp:docPr descr="Рис. 12: Работа с файлом file01.txt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файлом file01.txt</w:t>
      </w:r>
    </w:p>
    <w:bookmarkEnd w:id="70"/>
    <w:p>
      <w:pPr>
        <w:pStyle w:val="BodyText"/>
      </w:pPr>
      <w:r>
        <w:t xml:space="preserve">Удалить файл нам не получилось.</w:t>
      </w:r>
    </w:p>
    <w:p>
      <w:pPr>
        <w:pStyle w:val="Compact"/>
        <w:numPr>
          <w:ilvl w:val="0"/>
          <w:numId w:val="1013"/>
        </w:numPr>
      </w:pPr>
      <w:r>
        <w:t xml:space="preserve">Повысьте свои права до суперпользователя и выполните после этого команду, снимающую атрибут t (Sticky-бит) с директории /tmp. После покиньте режим суперпользователя (рис. 13).</w:t>
      </w:r>
    </w:p>
    <w:bookmarkStart w:id="74" w:name="fig:013"/>
    <w:p>
      <w:pPr>
        <w:pStyle w:val="CaptionedFigure"/>
      </w:pPr>
      <w:r>
        <w:drawing>
          <wp:inline>
            <wp:extent cx="3903489" cy="1052712"/>
            <wp:effectExtent b="0" l="0" r="0" t="0"/>
            <wp:docPr descr="Рис. 13: Снятие Sticky-бит с директории /tmp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Снятие Sticky-бит с директории /tmp</w:t>
      </w:r>
    </w:p>
    <w:bookmarkEnd w:id="74"/>
    <w:p>
      <w:pPr>
        <w:numPr>
          <w:ilvl w:val="0"/>
          <w:numId w:val="1014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 (рис. 13).</w:t>
      </w:r>
    </w:p>
    <w:p>
      <w:pPr>
        <w:numPr>
          <w:ilvl w:val="0"/>
          <w:numId w:val="1014"/>
        </w:numPr>
      </w:pPr>
      <w:r>
        <w:t xml:space="preserve">Повторите предыдущие шаги. Теперь можем все то же самое, но еще и удалять файл (рис. 14).</w:t>
      </w:r>
    </w:p>
    <w:bookmarkStart w:id="78" w:name="fig:014"/>
    <w:p>
      <w:pPr>
        <w:pStyle w:val="CaptionedFigure"/>
      </w:pPr>
      <w:r>
        <w:drawing>
          <wp:inline>
            <wp:extent cx="5334000" cy="1846093"/>
            <wp:effectExtent b="0" l="0" r="0" t="0"/>
            <wp:docPr descr="Рис. 14: Повторение действий с file01.txt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действий с file01.txt</w:t>
      </w:r>
    </w:p>
    <w:bookmarkEnd w:id="78"/>
    <w:p>
      <w:pPr>
        <w:pStyle w:val="Compact"/>
        <w:numPr>
          <w:ilvl w:val="0"/>
          <w:numId w:val="1015"/>
        </w:numPr>
      </w:pPr>
      <w:r>
        <w:t xml:space="preserve">Повысьте свои права до суперпользователя и верните атрибут t на директорию /tmp (рис. 15).</w:t>
      </w:r>
    </w:p>
    <w:bookmarkStart w:id="82" w:name="fig:015"/>
    <w:p>
      <w:pPr>
        <w:pStyle w:val="CaptionedFigure"/>
      </w:pPr>
      <w:r>
        <w:drawing>
          <wp:inline>
            <wp:extent cx="4541263" cy="668510"/>
            <wp:effectExtent b="0" l="0" r="0" t="0"/>
            <wp:docPr descr="Рис. 15: Возвращение Sticky-бит в директорию /tmp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Возвращение Sticky-бит в директорию /tmp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механизм изменения идентификаторов, применение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85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7" w:name="ref-virtualbox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VirtualBox Documentation</w:t>
      </w:r>
      <w:r>
        <w:t xml:space="preserve"> </w:t>
      </w:r>
      <w:r>
        <w:t xml:space="preserve">[Электронный ресурс]. Oracle, 2024. URL:</w:t>
      </w:r>
      <w:r>
        <w:t xml:space="preserve"> </w:t>
      </w:r>
      <w:hyperlink r:id="rId86">
        <w:r>
          <w:rPr>
            <w:rStyle w:val="Hyperlink"/>
          </w:rPr>
          <w:t xml:space="preserve">https://www.virtualbox.org/wiki/Documentation</w:t>
        </w:r>
      </w:hyperlink>
      <w:r>
        <w:t xml:space="preserve">.</w:t>
      </w:r>
    </w:p>
    <w:bookmarkEnd w:id="87"/>
    <w:bookmarkStart w:id="89" w:name="ref-rocky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Rocky Documentation</w:t>
      </w:r>
      <w:r>
        <w:t xml:space="preserve"> </w:t>
      </w:r>
      <w:r>
        <w:t xml:space="preserve">[Электронный ресурс]. Rocky Enterprise Software Foundation, 2024. URL:</w:t>
      </w:r>
      <w:r>
        <w:t xml:space="preserve"> </w:t>
      </w:r>
      <w:hyperlink r:id="rId88">
        <w:r>
          <w:rPr>
            <w:rStyle w:val="Hyperlink"/>
          </w:rPr>
          <w:t xml:space="preserve">https://docs.rockylinux.org/ru/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88" Target="https://docs.rockylinux.org/ru/" TargetMode="External" /><Relationship Type="http://schemas.openxmlformats.org/officeDocument/2006/relationships/hyperlink" Id="rId86" Target="https://www.virtualbox.org/wiki/Documen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docs.rockylinux.org/ru/" TargetMode="External" /><Relationship Type="http://schemas.openxmlformats.org/officeDocument/2006/relationships/hyperlink" Id="rId86" Target="https://www.virtualbox.org/wiki/Documen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Матюшкин Денис Владимирович (НПИбд-02-21)</dc:creator>
  <dc:language>ru-RU</dc:language>
  <cp:keywords/>
  <dcterms:created xsi:type="dcterms:W3CDTF">2024-10-03T20:48:31Z</dcterms:created>
  <dcterms:modified xsi:type="dcterms:W3CDTF">2024-10-03T20:48:31Z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№5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