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Информационная безопасность</w:t>
      </w:r>
    </w:p>
    <w:p>
      <w:pPr>
        <w:pStyle w:val="Subtitle"/>
      </w:pPr>
      <w:r>
        <w:t xml:space="preserve">Индидивуальный проект №1</w:t>
      </w:r>
    </w:p>
    <w:p>
      <w:pPr>
        <w:pStyle w:val="Author"/>
      </w:pPr>
      <w:r>
        <w:t xml:space="preserve">Матюшкин Денис Владимирович (НПИбд-02-21)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Kali Linux на виртуальную машину, настройки минимально необходимых для дальнейшей работы сервисов.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VirtualBox (Oracle VM VirtualBox) — программный продукт виртуализации для операционных систем Windows, Linux, FreeBSD, macOS, Solaris/OpenSolaris, ReactOS, DOS и других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Kali Linux — возникший как результат слияния WHAX и Auditor Security Collection. Предназначен прежде всего для проведения тестов на безопасность. Наследник развивавшегося до 2013 года на базе Knoppix дистрибутива BackTrack.</w:t>
      </w:r>
      <w:r>
        <w:t xml:space="preserve"> </w:t>
      </w:r>
      <w:r>
        <w:t xml:space="preserve">[2]</w:t>
      </w:r>
      <w:r>
        <w:t xml:space="preserve">.</w:t>
      </w:r>
    </w:p>
    <w:bookmarkEnd w:id="21"/>
    <w:bookmarkStart w:id="82" w:name="ход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работы</w:t>
      </w:r>
    </w:p>
    <w:p>
      <w:pPr>
        <w:pStyle w:val="Compact"/>
        <w:numPr>
          <w:ilvl w:val="0"/>
          <w:numId w:val="1001"/>
        </w:numPr>
      </w:pPr>
      <w:r>
        <w:t xml:space="preserve">Создайте новую виртуальную машину. Укажите имя виртуальной машины, тип операционной системы — Linux, Kali (рис. 1).</w:t>
      </w:r>
    </w:p>
    <w:bookmarkStart w:id="25" w:name="fig:001"/>
    <w:p>
      <w:pPr>
        <w:pStyle w:val="CaptionedFigure"/>
      </w:pPr>
      <w:r>
        <w:drawing>
          <wp:inline>
            <wp:extent cx="5334000" cy="3045205"/>
            <wp:effectExtent b="0" l="0" r="0" t="0"/>
            <wp:docPr descr="Рис. 1: Окно «Имя машины и тип ОС»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Окно «Имя машины и тип ОС»</w:t>
      </w:r>
    </w:p>
    <w:bookmarkEnd w:id="25"/>
    <w:p>
      <w:pPr>
        <w:pStyle w:val="Compact"/>
        <w:numPr>
          <w:ilvl w:val="0"/>
          <w:numId w:val="1002"/>
        </w:numPr>
      </w:pPr>
      <w:r>
        <w:t xml:space="preserve">Укажите размер основной памяти виртуальной машины — 2048 МБ (или большее число, кратное 1024 МБ, если позволяют технические характеристики вашего компьютера) и количество виртуальных процессоро (рис. 2).</w:t>
      </w:r>
    </w:p>
    <w:bookmarkStart w:id="29" w:name="fig:002"/>
    <w:p>
      <w:pPr>
        <w:pStyle w:val="CaptionedFigure"/>
      </w:pPr>
      <w:r>
        <w:drawing>
          <wp:inline>
            <wp:extent cx="5334000" cy="3049869"/>
            <wp:effectExtent b="0" l="0" r="0" t="0"/>
            <wp:docPr descr="Рис. 2: Окно «Размер основной памяти»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9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«Размер основной памяти»</w:t>
      </w:r>
    </w:p>
    <w:bookmarkEnd w:id="29"/>
    <w:p>
      <w:pPr>
        <w:pStyle w:val="Compact"/>
        <w:numPr>
          <w:ilvl w:val="0"/>
          <w:numId w:val="1003"/>
        </w:numPr>
      </w:pPr>
      <w:r>
        <w:t xml:space="preserve">Задайте размер диска — 40 ГБ (или больше) (рис. 3).</w:t>
      </w:r>
    </w:p>
    <w:bookmarkStart w:id="33" w:name="fig:003"/>
    <w:p>
      <w:pPr>
        <w:pStyle w:val="CaptionedFigure"/>
      </w:pPr>
      <w:r>
        <w:drawing>
          <wp:inline>
            <wp:extent cx="5334000" cy="3030386"/>
            <wp:effectExtent b="0" l="0" r="0" t="0"/>
            <wp:docPr descr="Рис. 3: Окно определения размера виртуального динамического жёсткого диск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Окно определения размера виртуального динамического жёсткого диска</w:t>
      </w:r>
    </w:p>
    <w:bookmarkEnd w:id="33"/>
    <w:p>
      <w:pPr>
        <w:pStyle w:val="Compact"/>
        <w:numPr>
          <w:ilvl w:val="0"/>
          <w:numId w:val="1004"/>
        </w:numPr>
      </w:pPr>
      <w:r>
        <w:t xml:space="preserve">Создайте виртуальную машину (рис. 4).</w:t>
      </w:r>
    </w:p>
    <w:bookmarkStart w:id="37" w:name="fig:004"/>
    <w:p>
      <w:pPr>
        <w:pStyle w:val="CaptionedFigure"/>
      </w:pPr>
      <w:r>
        <w:drawing>
          <wp:inline>
            <wp:extent cx="5334000" cy="3075047"/>
            <wp:effectExtent b="0" l="0" r="0" t="0"/>
            <wp:docPr descr="Рис. 4: Окно создания виртуальной машины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5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Окно создания виртуальной машины</w:t>
      </w:r>
    </w:p>
    <w:bookmarkEnd w:id="37"/>
    <w:p>
      <w:pPr>
        <w:pStyle w:val="Compact"/>
        <w:numPr>
          <w:ilvl w:val="0"/>
          <w:numId w:val="1005"/>
        </w:numPr>
      </w:pPr>
      <w:r>
        <w:t xml:space="preserve">Запустите виртуальную машину, выберите English в качестве языка интерфейса и перейдите к настройкам установки операционной системы (рис. 5).</w:t>
      </w:r>
    </w:p>
    <w:bookmarkStart w:id="41" w:name="fig:005"/>
    <w:p>
      <w:pPr>
        <w:pStyle w:val="CaptionedFigure"/>
      </w:pPr>
      <w:r>
        <w:drawing>
          <wp:inline>
            <wp:extent cx="5334000" cy="3708740"/>
            <wp:effectExtent b="0" l="0" r="0" t="0"/>
            <wp:docPr descr="Рис. 5: Установка английского языка интерфейса ОС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английского языка интерфейса ОС</w:t>
      </w:r>
    </w:p>
    <w:bookmarkEnd w:id="41"/>
    <w:p>
      <w:pPr>
        <w:pStyle w:val="Compact"/>
        <w:numPr>
          <w:ilvl w:val="0"/>
          <w:numId w:val="1006"/>
        </w:numPr>
      </w:pPr>
      <w:r>
        <w:t xml:space="preserve">Выберите местоположение (рис. 6).</w:t>
      </w:r>
    </w:p>
    <w:bookmarkStart w:id="45" w:name="fig:006"/>
    <w:p>
      <w:pPr>
        <w:pStyle w:val="CaptionedFigure"/>
      </w:pPr>
      <w:r>
        <w:drawing>
          <wp:inline>
            <wp:extent cx="5334000" cy="3464943"/>
            <wp:effectExtent b="0" l="0" r="0" t="0"/>
            <wp:docPr descr="Рис. 6: Выбор местоположения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4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местоположения</w:t>
      </w:r>
    </w:p>
    <w:bookmarkEnd w:id="45"/>
    <w:p>
      <w:pPr>
        <w:pStyle w:val="Compact"/>
        <w:numPr>
          <w:ilvl w:val="0"/>
          <w:numId w:val="1007"/>
        </w:numPr>
      </w:pPr>
      <w:r>
        <w:t xml:space="preserve">Включите сетевое соединение и в качестве имени узла укажите user.localdomain, где вместо user укажите имя своего пользователя в соответствии с соглашением об именовании (рис. 7).</w:t>
      </w:r>
    </w:p>
    <w:bookmarkStart w:id="49" w:name="fig:007"/>
    <w:p>
      <w:pPr>
        <w:pStyle w:val="CaptionedFigure"/>
      </w:pPr>
      <w:r>
        <w:drawing>
          <wp:inline>
            <wp:extent cx="5334000" cy="1583991"/>
            <wp:effectExtent b="0" l="0" r="0" t="0"/>
            <wp:docPr descr="Рис. 7: Окно настройки установки: сеть и имя узл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3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Окно настройки установки: сеть и имя узла</w:t>
      </w:r>
    </w:p>
    <w:bookmarkEnd w:id="49"/>
    <w:p>
      <w:pPr>
        <w:pStyle w:val="Compact"/>
        <w:numPr>
          <w:ilvl w:val="0"/>
          <w:numId w:val="1008"/>
        </w:numPr>
      </w:pPr>
      <w:r>
        <w:t xml:space="preserve">Задайте имя пользователя и пароль (рис. 8 и 9).</w:t>
      </w:r>
    </w:p>
    <w:bookmarkStart w:id="53" w:name="fig:008"/>
    <w:p>
      <w:pPr>
        <w:pStyle w:val="CaptionedFigure"/>
      </w:pPr>
      <w:r>
        <w:drawing>
          <wp:inline>
            <wp:extent cx="5334000" cy="1267918"/>
            <wp:effectExtent b="0" l="0" r="0" t="0"/>
            <wp:docPr descr="Рис. 8: Настройка пользователя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7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пользователя</w:t>
      </w:r>
    </w:p>
    <w:bookmarkEnd w:id="53"/>
    <w:bookmarkStart w:id="57" w:name="fig:009"/>
    <w:p>
      <w:pPr>
        <w:pStyle w:val="CaptionedFigure"/>
      </w:pPr>
      <w:r>
        <w:drawing>
          <wp:inline>
            <wp:extent cx="3911173" cy="1344705"/>
            <wp:effectExtent b="0" l="0" r="0" t="0"/>
            <wp:docPr descr="Рис. 9: Установка пароля для пользователя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73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пароля для пользователя</w:t>
      </w:r>
    </w:p>
    <w:bookmarkEnd w:id="57"/>
    <w:p>
      <w:pPr>
        <w:pStyle w:val="Compact"/>
        <w:numPr>
          <w:ilvl w:val="0"/>
          <w:numId w:val="1009"/>
        </w:numPr>
      </w:pPr>
      <w:r>
        <w:t xml:space="preserve">Выберите часовой пояс (рис. 10).</w:t>
      </w:r>
    </w:p>
    <w:bookmarkStart w:id="61" w:name="fig:010"/>
    <w:p>
      <w:pPr>
        <w:pStyle w:val="CaptionedFigure"/>
      </w:pPr>
      <w:r>
        <w:drawing>
          <wp:inline>
            <wp:extent cx="5334000" cy="2165358"/>
            <wp:effectExtent b="0" l="0" r="0" t="0"/>
            <wp:docPr descr="Рис. 10: Выбор часового пояс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5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Выбор часового пояса</w:t>
      </w:r>
    </w:p>
    <w:bookmarkEnd w:id="61"/>
    <w:p>
      <w:pPr>
        <w:pStyle w:val="Compact"/>
        <w:numPr>
          <w:ilvl w:val="0"/>
          <w:numId w:val="1010"/>
        </w:numPr>
      </w:pPr>
      <w:r>
        <w:t xml:space="preserve">Выберите способ разбиения жесткого диска (рис. 11).</w:t>
      </w:r>
    </w:p>
    <w:bookmarkStart w:id="65" w:name="fig:011"/>
    <w:p>
      <w:pPr>
        <w:pStyle w:val="CaptionedFigure"/>
      </w:pPr>
      <w:r>
        <w:drawing>
          <wp:inline>
            <wp:extent cx="5334000" cy="1891079"/>
            <wp:effectExtent b="0" l="0" r="0" t="0"/>
            <wp:docPr descr="Рис. 11: Способ разбиения ЖД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1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Способ разбиения ЖД</w:t>
      </w:r>
    </w:p>
    <w:bookmarkEnd w:id="65"/>
    <w:p>
      <w:pPr>
        <w:pStyle w:val="Compact"/>
        <w:numPr>
          <w:ilvl w:val="0"/>
          <w:numId w:val="1011"/>
        </w:numPr>
      </w:pPr>
      <w:r>
        <w:t xml:space="preserve">Выберите схему разбиения. По умолчанию выбран вариант Все файлы в одном разделе (рис. 12).</w:t>
      </w:r>
    </w:p>
    <w:bookmarkStart w:id="69" w:name="fig:012"/>
    <w:p>
      <w:pPr>
        <w:pStyle w:val="CaptionedFigure"/>
      </w:pPr>
      <w:r>
        <w:drawing>
          <wp:inline>
            <wp:extent cx="5332719" cy="1137236"/>
            <wp:effectExtent b="0" l="0" r="0" t="0"/>
            <wp:docPr descr="Рис. 12: Схема разбиения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19" cy="113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Схема разбиения</w:t>
      </w:r>
    </w:p>
    <w:bookmarkEnd w:id="69"/>
    <w:p>
      <w:pPr>
        <w:pStyle w:val="Compact"/>
        <w:numPr>
          <w:ilvl w:val="0"/>
          <w:numId w:val="1012"/>
        </w:numPr>
      </w:pPr>
      <w:r>
        <w:t xml:space="preserve">Начните загрузку компонентов (рис. 13).</w:t>
      </w:r>
    </w:p>
    <w:bookmarkStart w:id="73" w:name="fig:013"/>
    <w:p>
      <w:pPr>
        <w:pStyle w:val="CaptionedFigure"/>
      </w:pPr>
      <w:r>
        <w:drawing>
          <wp:inline>
            <wp:extent cx="5334000" cy="802211"/>
            <wp:effectExtent b="0" l="0" r="0" t="0"/>
            <wp:docPr descr="Рис. 13: Загрузка компонентов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Загрузка компонентов</w:t>
      </w:r>
    </w:p>
    <w:bookmarkEnd w:id="73"/>
    <w:p>
      <w:pPr>
        <w:pStyle w:val="Compact"/>
        <w:numPr>
          <w:ilvl w:val="0"/>
          <w:numId w:val="1013"/>
        </w:numPr>
      </w:pPr>
      <w:r>
        <w:t xml:space="preserve">Войдите в ОС под заданной вами при установке учётной записью. В меню Устройства виртуальной машины подключите образ диска дополнений гостевой ОС (рис. 14 и 15).</w:t>
      </w:r>
    </w:p>
    <w:bookmarkStart w:id="77" w:name="fig:014"/>
    <w:p>
      <w:pPr>
        <w:pStyle w:val="CaptionedFigure"/>
      </w:pPr>
      <w:r>
        <w:drawing>
          <wp:inline>
            <wp:extent cx="2635623" cy="1667435"/>
            <wp:effectExtent b="0" l="0" r="0" t="0"/>
            <wp:docPr descr="Рис. 14: Вход в ОС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623" cy="166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Вход в ОС</w:t>
      </w:r>
    </w:p>
    <w:bookmarkEnd w:id="77"/>
    <w:bookmarkStart w:id="81" w:name="fig:015"/>
    <w:p>
      <w:pPr>
        <w:pStyle w:val="CaptionedFigure"/>
      </w:pPr>
      <w:r>
        <w:drawing>
          <wp:inline>
            <wp:extent cx="4034117" cy="2220685"/>
            <wp:effectExtent b="0" l="0" r="0" t="0"/>
            <wp:docPr descr="Рис. 15: Подключение образа диска дополнений гостевой ОС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17" cy="2220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Подключение образа диска дополнений гостевой ОС</w:t>
      </w:r>
    </w:p>
    <w:bookmarkEnd w:id="81"/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мы приобрели практические навыки установки операционной системы Kali Linux на виртуальную машину, настроили минимально необходимые для дальнейшей работы сервисы.</w:t>
      </w:r>
    </w:p>
    <w:bookmarkEnd w:id="83"/>
    <w:bookmarkStart w:id="89" w:name="список-литературы"/>
    <w:p>
      <w:pPr>
        <w:pStyle w:val="Heading1"/>
      </w:pPr>
      <w:r>
        <w:t xml:space="preserve">Список литературы</w:t>
      </w:r>
    </w:p>
    <w:bookmarkStart w:id="88" w:name="refs"/>
    <w:bookmarkStart w:id="85" w:name="ref-virtualbox-doc:documentatio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VirtualBox Documentation</w:t>
      </w:r>
      <w:r>
        <w:t xml:space="preserve"> </w:t>
      </w:r>
      <w:r>
        <w:t xml:space="preserve">[Электронный ресурс]. Oracle, 2024. URL:</w:t>
      </w:r>
      <w:r>
        <w:t xml:space="preserve"> </w:t>
      </w:r>
      <w:hyperlink r:id="rId84">
        <w:r>
          <w:rPr>
            <w:rStyle w:val="Hyperlink"/>
          </w:rPr>
          <w:t xml:space="preserve">https://www.virtualbox.org/wiki/Documentation</w:t>
        </w:r>
      </w:hyperlink>
      <w:r>
        <w:t xml:space="preserve">.</w:t>
      </w:r>
    </w:p>
    <w:bookmarkEnd w:id="85"/>
    <w:bookmarkStart w:id="87" w:name="ref-kali-doc:documentatio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Kali Official Documentation</w:t>
      </w:r>
      <w:r>
        <w:t xml:space="preserve"> </w:t>
      </w:r>
      <w:r>
        <w:t xml:space="preserve">[Электронный ресурс]. Offensive Security, 2024. URL:</w:t>
      </w:r>
      <w:r>
        <w:t xml:space="preserve"> </w:t>
      </w:r>
      <w:hyperlink r:id="rId86">
        <w:r>
          <w:rPr>
            <w:rStyle w:val="Hyperlink"/>
          </w:rPr>
          <w:t xml:space="preserve">https://www.kali.org/docs/</w:t>
        </w:r>
      </w:hyperlink>
      <w:r>
        <w:t xml:space="preserve">.</w:t>
      </w:r>
    </w:p>
    <w:bookmarkEnd w:id="87"/>
    <w:bookmarkEnd w:id="88"/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hyperlink" Id="rId86" Target="https://www.kali.org/docs/" TargetMode="External" /><Relationship Type="http://schemas.openxmlformats.org/officeDocument/2006/relationships/hyperlink" Id="rId84" Target="https://www.virtualbox.org/wiki/Documenta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6" Target="https://www.kali.org/docs/" TargetMode="External" /><Relationship Type="http://schemas.openxmlformats.org/officeDocument/2006/relationships/hyperlink" Id="rId84" Target="https://www.virtualbox.org/wiki/Documenta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</dc:title>
  <dc:creator>Матюшкин Денис Владимирович (НПИбд-02-21)</dc:creator>
  <dc:language>ru-RU</dc:language>
  <cp:keywords/>
  <dcterms:created xsi:type="dcterms:W3CDTF">2024-09-09T15:41:15Z</dcterms:created>
  <dcterms:modified xsi:type="dcterms:W3CDTF">2024-09-09T15:41:15Z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Индидивуальный проект №1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