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D61996">
        <w:rPr>
          <w:b/>
          <w:sz w:val="36"/>
          <w:szCs w:val="40"/>
          <w:lang w:eastAsia="zh-CN"/>
        </w:rPr>
        <w:t>Детерминированная и стохастическая транспортная задача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602C60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602C60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602C60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602C60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602C60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602C60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602C60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 xml:space="preserve">_________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 xml:space="preserve">.т.н.,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602C60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602C60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602C60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D61996" w:rsidP="001A788A">
            <w:pPr>
              <w:rPr>
                <w:sz w:val="28"/>
                <w:szCs w:val="28"/>
                <w:lang w:eastAsia="zh-CN"/>
              </w:rPr>
            </w:pPr>
            <w:r w:rsidRPr="00D61996">
              <w:rPr>
                <w:sz w:val="28"/>
                <w:szCs w:val="28"/>
                <w:lang w:eastAsia="zh-CN"/>
              </w:rPr>
              <w:t>Детерминированная и стохастическая транспортная задача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602C60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3C07B1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FA4FD2" w:rsidRPr="00FA4FD2">
              <w:rPr>
                <w:sz w:val="24"/>
              </w:rPr>
              <w:t xml:space="preserve">определения детерминированной и стохастической </w:t>
            </w:r>
            <w:r w:rsidR="00190E51">
              <w:rPr>
                <w:sz w:val="24"/>
              </w:rPr>
              <w:t>транспортных</w:t>
            </w:r>
            <w:r w:rsidR="003C07B1">
              <w:rPr>
                <w:sz w:val="24"/>
              </w:rPr>
              <w:t xml:space="preserve">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602C60">
        <w:tc>
          <w:tcPr>
            <w:tcW w:w="9638" w:type="dxa"/>
          </w:tcPr>
          <w:p w:rsidR="007D5467" w:rsidRPr="003A67A8" w:rsidRDefault="007D5467" w:rsidP="00F3124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>
              <w:rPr>
                <w:sz w:val="24"/>
                <w:szCs w:val="24"/>
              </w:rPr>
              <w:t xml:space="preserve">решение </w:t>
            </w:r>
            <w:r w:rsidR="00F31249">
              <w:rPr>
                <w:sz w:val="24"/>
                <w:szCs w:val="24"/>
              </w:rPr>
              <w:t>стохастической</w:t>
            </w:r>
            <w:r w:rsidR="00190E51">
              <w:rPr>
                <w:sz w:val="24"/>
                <w:szCs w:val="24"/>
              </w:rPr>
              <w:t xml:space="preserve">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программу для решения поставленных задач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602C60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7E10AA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</w:p>
        </w:tc>
      </w:tr>
      <w:tr w:rsidR="007E10AA" w:rsidRPr="003A67A8" w:rsidTr="00602C60">
        <w:tc>
          <w:tcPr>
            <w:tcW w:w="9638" w:type="dxa"/>
            <w:shd w:val="clear" w:color="auto" w:fill="auto"/>
          </w:tcPr>
          <w:p w:rsidR="007E10AA" w:rsidRPr="003A67A8" w:rsidRDefault="005374DB" w:rsidP="005B5BEE">
            <w:pPr>
              <w:jc w:val="both"/>
              <w:rPr>
                <w:highlight w:val="yellow"/>
              </w:rPr>
            </w:pPr>
            <w:r w:rsidRPr="003A67A8">
              <w:t xml:space="preserve"> 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7E10AA" w:rsidP="005B5BEE">
            <w:pPr>
              <w:jc w:val="both"/>
              <w:rPr>
                <w:highlight w:val="yellow"/>
              </w:rPr>
            </w:pPr>
          </w:p>
        </w:tc>
      </w:tr>
      <w:tr w:rsidR="00CC32CD" w:rsidRPr="003A67A8" w:rsidTr="00602C60"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CC32CD" w:rsidRPr="003A67A8" w:rsidRDefault="00CC32CD" w:rsidP="005B5BEE">
            <w:pPr>
              <w:jc w:val="both"/>
            </w:pP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602C60"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val="en-US"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602C60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EndPr/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D61996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4892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_Toc33624892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4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F03D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3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_Toc33624893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5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F03D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4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_Toc33624894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6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F03D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5" w:history="1">
            <w:r w:rsidR="00D61996" w:rsidRPr="00591B14">
              <w:rPr>
                <w:rStyle w:val="ab"/>
                <w:noProof/>
              </w:rPr>
              <w:t>Приложение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_Toc33624895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7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0" w:name="_Toc216684554"/>
      <w:bookmarkStart w:id="1" w:name="_Toc33624892"/>
      <w:r w:rsidRPr="00FE566C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-для большинства задач нахождение точного решения является сложным в вычислительном отношении. Как правило, подобные задачи ЖР-полные.</w:t>
      </w:r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Характеристики задач транспортной логистики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1. Пункты производства.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2. Пункты потребления.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3. Сеть дорог.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4. Количество груза.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10. Условия перевозки.</w:t>
      </w:r>
    </w:p>
    <w:p w:rsid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Каждая задача имеет определенный набор ограничений. Большое распространение в настоящее время получили задачи, учитывающие временной фактор, что связано не только с необходимостью исполнения заказов в срок, но и с ужесточением трудового законодательства, предписывающего, сколько времени водитель ТС может находиться за рулем в течение дня. Приведенное семейство свойств позволяет сформировать широкий класс задач транспортной логистики. Рассмотрим некоторые из наиболее распространенных задач.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5B6471" w:rsidRDefault="005B6471">
      <w:pPr>
        <w:spacing w:after="160" w:line="259" w:lineRule="auto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br w:type="page"/>
      </w:r>
    </w:p>
    <w:p w:rsidR="005B6471" w:rsidRPr="005B6471" w:rsidRDefault="005B6471" w:rsidP="005B6471">
      <w:pPr>
        <w:pStyle w:val="1"/>
        <w:jc w:val="center"/>
        <w:rPr>
          <w:rFonts w:ascii="Times New Roman" w:hAnsi="Times New Roman" w:cs="Times New Roman"/>
        </w:rPr>
      </w:pPr>
      <w:r w:rsidRPr="005B6471">
        <w:rPr>
          <w:rFonts w:ascii="Times New Roman" w:hAnsi="Times New Roman" w:cs="Times New Roman"/>
        </w:rPr>
        <w:lastRenderedPageBreak/>
        <w:t>Основная часть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5B6471" w:rsidRPr="000E16B4" w:rsidRDefault="005B6471" w:rsidP="000E16B4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32"/>
          <w:szCs w:val="28"/>
          <w:lang w:val="en-US"/>
        </w:rPr>
      </w:pPr>
      <w:r w:rsidRPr="000E16B4">
        <w:rPr>
          <w:color w:val="222222"/>
          <w:sz w:val="28"/>
          <w:shd w:val="clear" w:color="auto" w:fill="FFFFFF"/>
        </w:rPr>
        <w:t>Допустим Вы сотрудник коммерческой фирмы, которая оказывает транспортные услуги. Есть поставщики товара со складами в разных трёх городах, причём объёмы однородной продукции на этих складах соответственно равны a1, a2, a3. Есть и потребители в других трёх городах которым нужно привести товар от поставщиков в объёмах b1, b2, b3 соответственно. Известны также стоимости доставки с1÷с9 товаров от поставщиков к потребителям, согласно таблице.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noProof/>
          <w:sz w:val="28"/>
        </w:rPr>
        <w:drawing>
          <wp:inline distT="0" distB="0" distL="0" distR="0">
            <wp:extent cx="6026785" cy="1073150"/>
            <wp:effectExtent l="0" t="0" r="0" b="0"/>
            <wp:docPr id="4" name="Рисунок 4" descr="https://habrastorage.org/web/a49/8a1/d95/a498a1d9541a459594c3cb118a6176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a49/8a1/d95/a498a1d9541a459594c3cb118a6176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Если обозначить через x1…xn количество перевозимого груза, тогда функцией цели будет общая стоимость перевозки: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F(x)=c1*x1+c2*x2+c3*x3+c4*x4+c5*x5+c6*x6+c7*x7+c8*x8+c9*x9.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Условия, которые записываться. в виде неравенств: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x1+x2+x3&lt;=20 – больше чем есть у поставщика не возьмёшь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x4+x5+x6&lt;=45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x7+x8+x9&lt;=30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Условия, которые записываться. в виде равенств: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x1+x4+x7=b1– сколько надо столько и привезём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x2+x5+x8=b2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x3+x6+x9=b3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  <w:shd w:val="clear" w:color="auto" w:fill="FFFFFF"/>
        </w:rPr>
        <w:t>Тут дополнительно нужны условия не отрицательности переменных x поскольку они по смыслу не отрицательны и ищется минимум F(x). Эти неравенства не приводим.</w:t>
      </w:r>
      <w:r w:rsidRPr="000E16B4">
        <w:rPr>
          <w:color w:val="222222"/>
          <w:sz w:val="28"/>
        </w:rPr>
        <w:br/>
      </w:r>
      <w:r w:rsidRPr="000E16B4">
        <w:rPr>
          <w:color w:val="222222"/>
          <w:sz w:val="28"/>
        </w:rPr>
        <w:br/>
      </w:r>
      <w:r w:rsidR="000E16B4">
        <w:rPr>
          <w:color w:val="222222"/>
          <w:sz w:val="28"/>
          <w:shd w:val="clear" w:color="auto" w:fill="FFFFFF"/>
        </w:rPr>
        <w:t xml:space="preserve">Далее идет решение на языке </w:t>
      </w:r>
      <w:r w:rsidR="000E16B4">
        <w:rPr>
          <w:color w:val="222222"/>
          <w:sz w:val="28"/>
          <w:shd w:val="clear" w:color="auto" w:fill="FFFFFF"/>
          <w:lang w:val="en-US"/>
        </w:rPr>
        <w:t>Python.</w:t>
      </w:r>
      <w:bookmarkStart w:id="2" w:name="_GoBack"/>
      <w:bookmarkEnd w:id="2"/>
    </w:p>
    <w:p w:rsidR="008C1356" w:rsidRPr="000E16B4" w:rsidRDefault="008C1356" w:rsidP="000E16B4">
      <w:pPr>
        <w:spacing w:line="360" w:lineRule="auto"/>
        <w:ind w:left="-709" w:firstLine="284"/>
        <w:jc w:val="both"/>
        <w:rPr>
          <w:sz w:val="28"/>
        </w:rPr>
      </w:pPr>
    </w:p>
    <w:p w:rsidR="008C1356" w:rsidRPr="00FE566C" w:rsidRDefault="008C1356" w:rsidP="000E16B4">
      <w:pPr>
        <w:pStyle w:val="1"/>
        <w:spacing w:before="0" w:line="360" w:lineRule="auto"/>
        <w:ind w:left="-709" w:firstLine="284"/>
        <w:jc w:val="both"/>
        <w:rPr>
          <w:rFonts w:ascii="Times New Roman" w:hAnsi="Times New Roman" w:cs="Times New Roman"/>
          <w:sz w:val="28"/>
        </w:rPr>
      </w:pPr>
      <w:r w:rsidRPr="000E16B4">
        <w:rPr>
          <w:rFonts w:ascii="Times New Roman" w:hAnsi="Times New Roman" w:cs="Times New Roman"/>
        </w:rPr>
        <w:br w:type="page"/>
      </w:r>
      <w:bookmarkStart w:id="3" w:name="_Toc216684560"/>
      <w:bookmarkStart w:id="4" w:name="_Toc33624893"/>
      <w:r w:rsidRPr="00FE566C">
        <w:rPr>
          <w:rFonts w:ascii="Times New Roman" w:hAnsi="Times New Roman" w:cs="Times New Roman"/>
          <w:sz w:val="28"/>
        </w:rPr>
        <w:lastRenderedPageBreak/>
        <w:t>Заключение</w:t>
      </w:r>
      <w:bookmarkEnd w:id="3"/>
      <w:bookmarkEnd w:id="4"/>
    </w:p>
    <w:p w:rsidR="008C1356" w:rsidRDefault="008C1356" w:rsidP="00CA02DD">
      <w:pPr>
        <w:spacing w:line="360" w:lineRule="auto"/>
        <w:ind w:left="-709" w:firstLine="283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5" w:name="_Toc216684561"/>
      <w:bookmarkStart w:id="6" w:name="_Toc33624894"/>
      <w:r w:rsidRPr="00FE566C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5"/>
      <w:bookmarkEnd w:id="6"/>
    </w:p>
    <w:p w:rsidR="008C1356" w:rsidRPr="0047225C" w:rsidRDefault="008C1356" w:rsidP="00CA02DD">
      <w:pPr>
        <w:ind w:left="-709" w:firstLine="283"/>
      </w:pPr>
    </w:p>
    <w:p w:rsidR="005916CA" w:rsidRDefault="005916CA" w:rsidP="005916CA">
      <w:pPr>
        <w:pStyle w:val="af2"/>
        <w:numPr>
          <w:ilvl w:val="0"/>
          <w:numId w:val="4"/>
        </w:numPr>
        <w:spacing w:after="160" w:line="259" w:lineRule="auto"/>
      </w:pPr>
      <w:r>
        <w:t>В.И. Левин, Транспортная задача линейного программирования с интервальными параметрами, вестник российских университетов. 2001.</w:t>
      </w:r>
    </w:p>
    <w:p w:rsidR="00CC2539" w:rsidRDefault="00CC2539" w:rsidP="005916CA">
      <w:pPr>
        <w:pStyle w:val="af2"/>
        <w:numPr>
          <w:ilvl w:val="0"/>
          <w:numId w:val="4"/>
        </w:numPr>
        <w:spacing w:after="160" w:line="259" w:lineRule="auto"/>
      </w:pPr>
      <w:r>
        <w:br w:type="page"/>
      </w:r>
    </w:p>
    <w:p w:rsidR="008C1356" w:rsidRDefault="00CC2539" w:rsidP="00CC2539">
      <w:pPr>
        <w:pStyle w:val="1"/>
        <w:jc w:val="center"/>
      </w:pPr>
      <w:bookmarkStart w:id="7" w:name="_Toc33624895"/>
      <w:r>
        <w:lastRenderedPageBreak/>
        <w:t>Приложение</w:t>
      </w:r>
      <w:bookmarkEnd w:id="7"/>
    </w:p>
    <w:p w:rsidR="00CC2539" w:rsidRPr="00CC2539" w:rsidRDefault="00CC2539" w:rsidP="00CC2539">
      <w:pPr>
        <w:rPr>
          <w:lang w:eastAsia="en-US"/>
        </w:rPr>
      </w:pPr>
    </w:p>
    <w:p w:rsidR="00CC2539" w:rsidRDefault="00CC2539" w:rsidP="00CC2539">
      <w:pPr>
        <w:rPr>
          <w:lang w:eastAsia="en-US"/>
        </w:rPr>
      </w:pPr>
      <w:r>
        <w:rPr>
          <w:noProof/>
        </w:rPr>
        <w:drawing>
          <wp:inline distT="0" distB="0" distL="0" distR="0" wp14:anchorId="7C0A8FEC" wp14:editId="3C40585B">
            <wp:extent cx="5940425" cy="2724785"/>
            <wp:effectExtent l="0" t="0" r="3175" b="0"/>
            <wp:docPr id="3" name="Рисунок 3" descr="Картинки по запросу &quot;периодизация эв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периодизация эвм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9" w:rsidRPr="00CC2539" w:rsidRDefault="00CC2539" w:rsidP="00CC2539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Поколения ЭВМ</w:t>
      </w:r>
    </w:p>
    <w:sectPr w:rsidR="00CC2539" w:rsidRPr="00CC2539" w:rsidSect="001D78F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3DB" w:rsidRDefault="00EF03DB" w:rsidP="001D78FE">
      <w:r>
        <w:separator/>
      </w:r>
    </w:p>
  </w:endnote>
  <w:endnote w:type="continuationSeparator" w:id="0">
    <w:p w:rsidR="00EF03DB" w:rsidRDefault="00EF03DB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1D78FE" w:rsidRDefault="001D78FE" w:rsidP="00354538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1D78FE" w:rsidRDefault="001D78FE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1D78FE" w:rsidRDefault="001D78FE" w:rsidP="00354538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0E16B4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1D78FE" w:rsidRDefault="001D78FE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3DB" w:rsidRDefault="00EF03DB" w:rsidP="001D78FE">
      <w:r>
        <w:separator/>
      </w:r>
    </w:p>
  </w:footnote>
  <w:footnote w:type="continuationSeparator" w:id="0">
    <w:p w:rsidR="00EF03DB" w:rsidRDefault="00EF03DB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55C10"/>
    <w:rsid w:val="000E16B4"/>
    <w:rsid w:val="00190E51"/>
    <w:rsid w:val="001A788A"/>
    <w:rsid w:val="001D78FE"/>
    <w:rsid w:val="002208A5"/>
    <w:rsid w:val="00222690"/>
    <w:rsid w:val="002E26AB"/>
    <w:rsid w:val="003A67A8"/>
    <w:rsid w:val="003C07B1"/>
    <w:rsid w:val="003D59E8"/>
    <w:rsid w:val="003D7D59"/>
    <w:rsid w:val="003E690D"/>
    <w:rsid w:val="00433161"/>
    <w:rsid w:val="004529EB"/>
    <w:rsid w:val="0048541E"/>
    <w:rsid w:val="004D42F6"/>
    <w:rsid w:val="005374DB"/>
    <w:rsid w:val="00576DA0"/>
    <w:rsid w:val="005916CA"/>
    <w:rsid w:val="005B5BEE"/>
    <w:rsid w:val="005B6471"/>
    <w:rsid w:val="00627A53"/>
    <w:rsid w:val="0065215D"/>
    <w:rsid w:val="006A4C43"/>
    <w:rsid w:val="006E4469"/>
    <w:rsid w:val="007D5467"/>
    <w:rsid w:val="007E10AA"/>
    <w:rsid w:val="00820C75"/>
    <w:rsid w:val="00895E32"/>
    <w:rsid w:val="008C1356"/>
    <w:rsid w:val="00903DB8"/>
    <w:rsid w:val="00952360"/>
    <w:rsid w:val="00984D5C"/>
    <w:rsid w:val="009C0894"/>
    <w:rsid w:val="009E1DAF"/>
    <w:rsid w:val="009F6F41"/>
    <w:rsid w:val="00B16242"/>
    <w:rsid w:val="00B17ACD"/>
    <w:rsid w:val="00B2369D"/>
    <w:rsid w:val="00BC5885"/>
    <w:rsid w:val="00C17136"/>
    <w:rsid w:val="00CA02DD"/>
    <w:rsid w:val="00CC2539"/>
    <w:rsid w:val="00CC32CD"/>
    <w:rsid w:val="00CE34A6"/>
    <w:rsid w:val="00D61996"/>
    <w:rsid w:val="00DD69FF"/>
    <w:rsid w:val="00E854C7"/>
    <w:rsid w:val="00EB6362"/>
    <w:rsid w:val="00EF03DB"/>
    <w:rsid w:val="00F30892"/>
    <w:rsid w:val="00F31249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56D0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32D73-A6E0-4464-A3CE-4201F862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13</cp:revision>
  <cp:lastPrinted>2020-02-26T12:50:00Z</cp:lastPrinted>
  <dcterms:created xsi:type="dcterms:W3CDTF">2020-02-26T12:53:00Z</dcterms:created>
  <dcterms:modified xsi:type="dcterms:W3CDTF">2020-04-13T12:51:00Z</dcterms:modified>
</cp:coreProperties>
</file>