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768B" w14:textId="77777777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Literature Review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D449354" w14:textId="0F9BEC16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116E63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“Gemini Robotics: Bringing AI into the Physical World”</w:t>
        </w:r>
      </w:hyperlink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Gemini Robotics Team, Google DeepMind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2025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AD4B6D6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2A754DC7" w14:textId="6B409091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This paper presents </w:t>
      </w:r>
      <w:r w:rsidRPr="00116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Gemini Robotics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, a new family of AI models purpose-built for robotics, developed by Google DeepMind. Building on the Gemini 2.0 foundation, the models are designed to enable general-purpose, safe, and dexterous robotic control by integrating vision, language, and action (VLA) capabilities.</w:t>
      </w:r>
    </w:p>
    <w:p w14:paraId="71359060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Contributions</w:t>
      </w:r>
    </w:p>
    <w:p w14:paraId="2EF09ED9" w14:textId="77777777" w:rsidR="00116E63" w:rsidRPr="00116E63" w:rsidRDefault="00116E63" w:rsidP="00116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Gemini Robotics-ER (Embodied Reasoning)</w:t>
      </w:r>
    </w:p>
    <w:p w14:paraId="600ABAEE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A vision-language model (VLM) enhanced for physical world understanding.</w:t>
      </w:r>
    </w:p>
    <w:p w14:paraId="16B21CF9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Capable of 2D/3D object detection, pointing, trajectory prediction, and grasp planning.</w:t>
      </w:r>
    </w:p>
    <w:p w14:paraId="4A0E2E22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Introduces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ERQA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, a novel benchmark to evaluate embodied reasoning.</w:t>
      </w:r>
    </w:p>
    <w:p w14:paraId="1D0CB89A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Trained on large-scale spatial and temporal datasets, allowing high-level perception and reasoning.</w:t>
      </w:r>
    </w:p>
    <w:p w14:paraId="0C12B527" w14:textId="77777777" w:rsidR="00116E63" w:rsidRPr="00116E63" w:rsidRDefault="00116E63" w:rsidP="00116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Gemini Robotics (VLA Model)</w:t>
      </w:r>
    </w:p>
    <w:p w14:paraId="44BC5E67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A full vision-language-action model enabling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robotic control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7E68F7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Learns dexterous tasks (e.g., origami folding, card games) with smooth, reactive movements.</w:t>
      </w:r>
    </w:p>
    <w:p w14:paraId="518D9383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Capable of zero-shot and few-shot learning, supporting rapid adaptation to novel tasks or robot types.</w:t>
      </w:r>
    </w:p>
    <w:p w14:paraId="3F60E2E1" w14:textId="77777777" w:rsidR="00116E63" w:rsidRPr="00116E63" w:rsidRDefault="00116E63" w:rsidP="00116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Adaptation and Specialization</w:t>
      </w:r>
    </w:p>
    <w:p w14:paraId="02ECA6DC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Gemini Robotics can fine-tune with only ~100 demos for new short-horizon tasks.</w:t>
      </w:r>
    </w:p>
    <w:p w14:paraId="4BCA0696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Demonstrates transfer to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embodiments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, such as bi-arm or humanoid robots.</w:t>
      </w:r>
    </w:p>
    <w:p w14:paraId="206B78F8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Capable of advanced physical interaction under open-vocabulary language commands.</w:t>
      </w:r>
    </w:p>
    <w:p w14:paraId="560C8FB8" w14:textId="77777777" w:rsidR="00116E63" w:rsidRPr="00116E63" w:rsidRDefault="00116E63" w:rsidP="00116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Responsible AI in Robotics</w:t>
      </w:r>
    </w:p>
    <w:p w14:paraId="3AF26694" w14:textId="77777777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Includes discussion on safety, adversarial robustness, and ethical deployment.</w:t>
      </w:r>
    </w:p>
    <w:p w14:paraId="7EA4EE37" w14:textId="2593E389" w:rsidR="00116E63" w:rsidRPr="00116E63" w:rsidRDefault="00116E63" w:rsidP="00116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Developed under Google’s AI Principles with an emphasis on societal impact mitigation.</w:t>
      </w:r>
    </w:p>
    <w:p w14:paraId="1853A4AD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Strengths</w:t>
      </w:r>
    </w:p>
    <w:p w14:paraId="5BE149E7" w14:textId="77777777" w:rsidR="00116E63" w:rsidRPr="00116E63" w:rsidRDefault="00116E63" w:rsidP="00116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Multimodal Fusion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Integrates vision, language, and robot control within a unified architecture, outperforming prior single-modality or narrow-domain robotics models.</w:t>
      </w:r>
    </w:p>
    <w:p w14:paraId="6CDD0093" w14:textId="77777777" w:rsidR="00116E63" w:rsidRPr="00116E63" w:rsidRDefault="00116E63" w:rsidP="00116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Generalization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Demonstrates cross-task, cross-domain, and cross-embodiment generalization with high reliability, even under instruction variations or novel object positions.</w:t>
      </w:r>
    </w:p>
    <w:p w14:paraId="4CB753B1" w14:textId="1434C1FF" w:rsidR="00116E63" w:rsidRPr="00116E63" w:rsidRDefault="00116E63" w:rsidP="00116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 and Dexterity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Designed for low-latency control, enabling precise and fluid manipulation.</w:t>
      </w:r>
    </w:p>
    <w:p w14:paraId="301295AD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</w:t>
      </w:r>
    </w:p>
    <w:p w14:paraId="5404E8A9" w14:textId="77777777" w:rsidR="00116E63" w:rsidRPr="00116E63" w:rsidRDefault="00116E63" w:rsidP="00116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Spatial-Temporal Grounding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Gemini 2.0 and its successors struggle with long video contexts and precise numerical outputs (e.g., bounding box precision).</w:t>
      </w:r>
    </w:p>
    <w:p w14:paraId="5B5E7AED" w14:textId="77777777" w:rsidR="00116E63" w:rsidRPr="00116E63" w:rsidRDefault="00116E63" w:rsidP="00116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to Reality Gap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More work is needed to improve sim2real transfer and robustness in highly contact-rich environments.</w:t>
      </w:r>
    </w:p>
    <w:p w14:paraId="548DEAD9" w14:textId="31053E3B" w:rsidR="006E7150" w:rsidRPr="00116E63" w:rsidRDefault="00116E63" w:rsidP="00116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 Reasoning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Performance degrades on complex tasks requiring long-horizon planning and execution.</w:t>
      </w:r>
    </w:p>
    <w:p w14:paraId="47D78D77" w14:textId="77777777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3DAB2" w14:textId="68C812A4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hyperlink r:id="rId6" w:history="1">
        <w:r w:rsidRPr="00116E63">
          <w:rPr>
            <w:rStyle w:val="Hyperlink"/>
            <w:rFonts w:ascii="Times New Roman" w:hAnsi="Times New Roman" w:cs="Times New Roman"/>
            <w:b/>
            <w:bCs/>
          </w:rPr>
          <w:t>Trust and Acceptance of AI Caregiving Robots: The Role of Ethics and Self-Efficacy</w:t>
        </w:r>
      </w:hyperlink>
    </w:p>
    <w:p w14:paraId="7B88E191" w14:textId="0629B942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Cathy S. Lin, Ying-Feng Kuo (corresponding author), Ting-Yu Wang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Affiliation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Department of Information Management, National University of Kaohsiung, Taiwan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2025</w:t>
      </w:r>
    </w:p>
    <w:p w14:paraId="4D427DB9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00DBECE1" w14:textId="09B4BD3F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This study examines the influence of ethical concerns and self-efficacy on the public’s trust and willingness to use AI caregiving robots, particularly in healthcare and eldercare. By developing a new AI ethics scale and expanding the Unified Theory of Acceptance and Use of Technology (UTAUT), the research provides insights into factors that increase acceptance of caregiving robots.</w:t>
      </w:r>
    </w:p>
    <w:p w14:paraId="101B34B4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Contributions</w:t>
      </w:r>
    </w:p>
    <w:p w14:paraId="7EC1A35F" w14:textId="77777777" w:rsidR="00116E63" w:rsidRPr="00116E63" w:rsidRDefault="00116E63" w:rsidP="00116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Ethics Scale (Second-Order Construct)</w:t>
      </w:r>
    </w:p>
    <w:p w14:paraId="65A571E0" w14:textId="77777777" w:rsidR="00116E63" w:rsidRPr="00116E63" w:rsidRDefault="00116E63" w:rsidP="00116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Developed and validated across multiple user groups.</w:t>
      </w:r>
    </w:p>
    <w:p w14:paraId="170E9849" w14:textId="77777777" w:rsidR="00116E63" w:rsidRPr="00116E63" w:rsidRDefault="00116E63" w:rsidP="00116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Composed of three key dimensions:</w:t>
      </w:r>
    </w:p>
    <w:p w14:paraId="25F4F04E" w14:textId="77777777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– clarity in data use and AI functioning.</w:t>
      </w:r>
    </w:p>
    <w:p w14:paraId="40B39443" w14:textId="77777777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– responsibility mechanisms when AI causes harm.</w:t>
      </w:r>
    </w:p>
    <w:p w14:paraId="444BA375" w14:textId="77777777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– avoidance of algorithmic bias and discrimination.</w:t>
      </w:r>
    </w:p>
    <w:p w14:paraId="24CAA688" w14:textId="77777777" w:rsidR="00116E63" w:rsidRPr="00116E63" w:rsidRDefault="00116E63" w:rsidP="00116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UTAUT Framework</w:t>
      </w:r>
    </w:p>
    <w:p w14:paraId="0D637FE2" w14:textId="77777777" w:rsidR="00116E63" w:rsidRPr="00116E63" w:rsidRDefault="00116E63" w:rsidP="00116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Integrates ethics and trust, often omitted in classic models.</w:t>
      </w:r>
    </w:p>
    <w:p w14:paraId="3D2DB7BA" w14:textId="77777777" w:rsidR="00116E63" w:rsidRPr="00116E63" w:rsidRDefault="00116E63" w:rsidP="00116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Includes: social influence, performance expectancy, self-efficacy, and trust.</w:t>
      </w:r>
    </w:p>
    <w:p w14:paraId="1DEE1E02" w14:textId="77777777" w:rsidR="00116E63" w:rsidRPr="00116E63" w:rsidRDefault="00116E63" w:rsidP="00116E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Demonstrates:</w:t>
      </w:r>
    </w:p>
    <w:p w14:paraId="5301F87C" w14:textId="77777777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Ethics and social influence increase self-efficacy.</w:t>
      </w:r>
    </w:p>
    <w:p w14:paraId="0DA68B03" w14:textId="77777777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Self-efficacy strengthens trust and performance expectations.</w:t>
      </w:r>
    </w:p>
    <w:p w14:paraId="42A7CC17" w14:textId="47F31058" w:rsidR="00116E63" w:rsidRPr="00116E63" w:rsidRDefault="00116E63" w:rsidP="00116E6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Trust and performance expectancy directly increase intention to use AI caregiving robots.</w:t>
      </w:r>
    </w:p>
    <w:p w14:paraId="3A4D7130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47FC0851" w14:textId="77777777" w:rsidR="00116E63" w:rsidRPr="00116E63" w:rsidRDefault="00116E63" w:rsidP="00116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Participants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391 survey respondents, including both potential users and future developers.</w:t>
      </w:r>
    </w:p>
    <w:p w14:paraId="2AD7E903" w14:textId="77777777" w:rsidR="00116E63" w:rsidRPr="00116E63" w:rsidRDefault="00116E63" w:rsidP="00116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Partial Least Squares Structural Equation Modeling (PLS-SEM).</w:t>
      </w:r>
    </w:p>
    <w:p w14:paraId="491771CC" w14:textId="2F6E33D9" w:rsidR="00116E63" w:rsidRPr="00116E63" w:rsidRDefault="00116E63" w:rsidP="00116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Strong reliability across gender and role subgroups (users vs. developers).</w:t>
      </w:r>
    </w:p>
    <w:p w14:paraId="23758012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Findings</w:t>
      </w:r>
    </w:p>
    <w:p w14:paraId="6DBEE7A9" w14:textId="77777777" w:rsidR="00116E63" w:rsidRPr="00116E63" w:rsidRDefault="00116E63" w:rsidP="00116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is the strongest direct predictor of intention to use caregiving robots.</w:t>
      </w:r>
    </w:p>
    <w:p w14:paraId="4FCA3647" w14:textId="77777777" w:rsidR="00116E63" w:rsidRPr="00116E63" w:rsidRDefault="00116E63" w:rsidP="00116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ethics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significantly enhances the model's explanatory power.</w:t>
      </w:r>
    </w:p>
    <w:p w14:paraId="1B91339D" w14:textId="77777777" w:rsidR="00116E63" w:rsidRPr="00116E63" w:rsidRDefault="00116E63" w:rsidP="00116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are more influenced by </w:t>
      </w:r>
      <w:proofErr w:type="gramStart"/>
      <w:r w:rsidRPr="00116E63">
        <w:rPr>
          <w:rFonts w:ascii="Times New Roman" w:eastAsia="Times New Roman" w:hAnsi="Times New Roman" w:cs="Times New Roman"/>
          <w:kern w:val="0"/>
          <w14:ligatures w14:val="none"/>
        </w:rPr>
        <w:t>ethics;</w:t>
      </w:r>
      <w:proofErr w:type="gramEnd"/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by social influence.</w:t>
      </w:r>
    </w:p>
    <w:p w14:paraId="2C75BE24" w14:textId="77777777" w:rsidR="00116E63" w:rsidRPr="00116E63" w:rsidRDefault="00116E63" w:rsidP="00116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differences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0C3615" w14:textId="77777777" w:rsidR="00116E63" w:rsidRPr="00116E63" w:rsidRDefault="00116E63" w:rsidP="00116E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Men respond more to ethical concerns.</w:t>
      </w:r>
    </w:p>
    <w:p w14:paraId="42374209" w14:textId="36E12628" w:rsidR="00116E63" w:rsidRPr="00116E63" w:rsidRDefault="00116E63" w:rsidP="00116E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Women are more influenced by social norms.</w:t>
      </w:r>
    </w:p>
    <w:p w14:paraId="5CED240A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Implications</w:t>
      </w:r>
    </w:p>
    <w:p w14:paraId="108C8C7F" w14:textId="77777777" w:rsidR="00116E63" w:rsidRPr="00116E63" w:rsidRDefault="00116E63" w:rsidP="00116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Developers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Design AI systems with embedded ethical principles.</w:t>
      </w:r>
    </w:p>
    <w:p w14:paraId="7AF69716" w14:textId="77777777" w:rsidR="00116E63" w:rsidRPr="00116E63" w:rsidRDefault="00116E63" w:rsidP="00116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Organizations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Clearly explain how AI works, including data handling and limitations.</w:t>
      </w:r>
    </w:p>
    <w:p w14:paraId="610F149C" w14:textId="77777777" w:rsidR="00116E63" w:rsidRPr="00116E63" w:rsidRDefault="00116E63" w:rsidP="00116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Policymakers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Implement comprehensive ethical frameworks for caregiving AI.</w:t>
      </w:r>
    </w:p>
    <w:p w14:paraId="1EC4881F" w14:textId="0CBB61E3" w:rsidR="00116E63" w:rsidRPr="00116E63" w:rsidRDefault="00116E63" w:rsidP="00116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Users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Knowing that ethics are prioritized helps build trust and adoption.</w:t>
      </w:r>
    </w:p>
    <w:p w14:paraId="74A6C72E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Future Work</w:t>
      </w:r>
    </w:p>
    <w:p w14:paraId="3D341936" w14:textId="77777777" w:rsidR="00116E63" w:rsidRPr="00116E63" w:rsidRDefault="00116E63" w:rsidP="00116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excluded due to external regulations (e.g., GDPR).</w:t>
      </w:r>
    </w:p>
    <w:p w14:paraId="12B7FCDE" w14:textId="6D46DC6E" w:rsidR="00116E63" w:rsidRPr="00116E63" w:rsidRDefault="00116E63" w:rsidP="00116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Cross-sectional design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limits temporal 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insights: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future studies could use qualitative or longitudinal approaches for deeper understanding.</w:t>
      </w:r>
    </w:p>
    <w:p w14:paraId="3195D2E4" w14:textId="74700D0E" w:rsidR="00116E63" w:rsidRPr="00116E63" w:rsidRDefault="00116E63" w:rsidP="00116E63">
      <w:pPr>
        <w:rPr>
          <w:rFonts w:ascii="Times New Roman" w:hAnsi="Times New Roman" w:cs="Times New Roman"/>
        </w:rPr>
      </w:pPr>
    </w:p>
    <w:p w14:paraId="58709BE5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hyperlink r:id="rId7" w:tgtFrame="_new" w:history="1">
        <w:r w:rsidRPr="00116E6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Principles and Guidelines for Evaluating Social Robot Navigation Algorithms</w:t>
        </w:r>
      </w:hyperlink>
    </w:p>
    <w:p w14:paraId="352042EC" w14:textId="7C47B1A2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A. Francis, et al.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Published in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16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ACM Transactions on Human-Robot Interaction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Year: 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February 2025</w:t>
      </w:r>
    </w:p>
    <w:p w14:paraId="31B42489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4CBA0751" w14:textId="0D7A3889" w:rsidR="00116E63" w:rsidRPr="00116E63" w:rsidRDefault="00116E63" w:rsidP="00116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This paper addresses the lack of standardized evaluation frameworks in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robot navigation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where robots must operate in dynamic, human-centered environments. The authors propose a 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taxonomy of key principles, metrics, and evaluation guidelines to enable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repeatable, comparable, and meaningful benchmarking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platforms and research groups.</w:t>
      </w:r>
    </w:p>
    <w:p w14:paraId="17B78831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Contributions</w:t>
      </w:r>
    </w:p>
    <w:p w14:paraId="76F08A80" w14:textId="77777777" w:rsidR="00116E63" w:rsidRPr="00116E63" w:rsidRDefault="00116E63" w:rsidP="00116E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Social Navigation</w:t>
      </w:r>
    </w:p>
    <w:p w14:paraId="04FE5461" w14:textId="77777777" w:rsidR="00116E63" w:rsidRPr="00116E63" w:rsidRDefault="00116E63" w:rsidP="00116E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A socially navigating robot is one that adheres to principles such as:</w:t>
      </w:r>
    </w:p>
    <w:p w14:paraId="2BF7B4BA" w14:textId="77777777" w:rsidR="00116E63" w:rsidRPr="00116E63" w:rsidRDefault="00116E63" w:rsidP="00116E6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Comfort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Legibility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Politeness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8DD12D8" w14:textId="77777777" w:rsidR="00116E63" w:rsidRPr="00116E63" w:rsidRDefault="00116E63" w:rsidP="00116E6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Competency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8C90D" w14:textId="77777777" w:rsidR="00116E63" w:rsidRPr="00116E63" w:rsidRDefault="00116E63" w:rsidP="00116E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Framework</w:t>
      </w:r>
    </w:p>
    <w:p w14:paraId="1BB5D6BC" w14:textId="77777777" w:rsidR="00116E63" w:rsidRPr="00116E63" w:rsidRDefault="00116E63" w:rsidP="00116E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Introduces a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framework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that includes both subjective (human-rated) and analytic (computable) evaluations.</w:t>
      </w:r>
    </w:p>
    <w:p w14:paraId="29FBAA10" w14:textId="77777777" w:rsidR="00116E63" w:rsidRPr="00116E63" w:rsidRDefault="00116E63" w:rsidP="00116E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Encourages use of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APIs and scenarios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to ensure cross-platform comparability.</w:t>
      </w:r>
    </w:p>
    <w:p w14:paraId="36B7F165" w14:textId="77777777" w:rsidR="00116E63" w:rsidRPr="00116E63" w:rsidRDefault="00116E63" w:rsidP="00116E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Guidelines for Benchmarking</w:t>
      </w:r>
    </w:p>
    <w:p w14:paraId="49B47167" w14:textId="77777777" w:rsidR="00116E63" w:rsidRPr="00116E63" w:rsidRDefault="00116E63" w:rsidP="00116E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Details best practices for designing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scenarios, datasets, and simulators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04BFDD" w14:textId="47C82F59" w:rsidR="00116E63" w:rsidRPr="00116E63" w:rsidRDefault="00116E63" w:rsidP="00116E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Proposes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 for metric usage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, including success, collisions, social compliance, and comfort-related measures.</w:t>
      </w:r>
    </w:p>
    <w:p w14:paraId="674149F7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 &amp; Tools</w:t>
      </w:r>
    </w:p>
    <w:p w14:paraId="4EBF69E9" w14:textId="77777777" w:rsidR="00116E63" w:rsidRPr="00116E63" w:rsidRDefault="00116E63" w:rsidP="00116E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Taxonomy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Developed through expert discussions at the Social Navigation Symposium.</w:t>
      </w:r>
    </w:p>
    <w:p w14:paraId="204F000A" w14:textId="77777777" w:rsidR="00116E63" w:rsidRPr="00116E63" w:rsidRDefault="00116E63" w:rsidP="00116E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 and Simulators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Standardized design guidelines for social navigation tasks.</w:t>
      </w:r>
    </w:p>
    <w:p w14:paraId="11C144CB" w14:textId="77777777" w:rsidR="00116E63" w:rsidRPr="00116E63" w:rsidRDefault="00116E63" w:rsidP="00116E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78EC53" w14:textId="77777777" w:rsidR="00116E63" w:rsidRPr="00116E63" w:rsidRDefault="00116E63" w:rsidP="00116E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Hand-crafted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Success Rate, Collision Rate, Time to Goal, Path Length, Space Compliance.</w:t>
      </w:r>
    </w:p>
    <w:p w14:paraId="400EF80E" w14:textId="77777777" w:rsidR="00116E63" w:rsidRPr="00116E63" w:rsidRDefault="00116E63" w:rsidP="00116E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Subjective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Human-rated surveys focusing on safety, comfort, and perceived intent.</w:t>
      </w:r>
    </w:p>
    <w:p w14:paraId="0865D7A5" w14:textId="10B7485A" w:rsidR="00116E63" w:rsidRPr="00116E63" w:rsidRDefault="00116E63" w:rsidP="00116E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Learned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Ongoing efforts to train ML models on large-scale survey-labeled datasets.</w:t>
      </w:r>
    </w:p>
    <w:p w14:paraId="460E83D9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Findings</w:t>
      </w:r>
    </w:p>
    <w:p w14:paraId="35E4EA6F" w14:textId="77777777" w:rsidR="00116E63" w:rsidRPr="00116E63" w:rsidRDefault="00116E63" w:rsidP="00116E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standardization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is a key barrier to fair comparison in social navigation research.</w:t>
      </w:r>
    </w:p>
    <w:p w14:paraId="2A026C8F" w14:textId="77777777" w:rsidR="00116E63" w:rsidRPr="00116E63" w:rsidRDefault="00116E63" w:rsidP="00116E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single metric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can capture all desired behaviors—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and task specificity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matter.</w:t>
      </w:r>
    </w:p>
    <w:p w14:paraId="3A0B6152" w14:textId="77777777" w:rsidR="00116E63" w:rsidRPr="00116E63" w:rsidRDefault="00116E63" w:rsidP="00116E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surveys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are gold standard but expensive and inconsistent unless validated properly.</w:t>
      </w:r>
    </w:p>
    <w:p w14:paraId="61A1698B" w14:textId="77777777" w:rsidR="00116E63" w:rsidRPr="00116E63" w:rsidRDefault="00116E63" w:rsidP="00116E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Learned metrics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(e.g., time-to-collision, comfort indices) offer potential but lack maturity.</w:t>
      </w:r>
    </w:p>
    <w:p w14:paraId="085AE2C6" w14:textId="77777777" w:rsidR="00116E63" w:rsidRPr="00116E63" w:rsidRDefault="00116E63" w:rsidP="00116E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scenario definitions and reporting standards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are essential for reproducibility.</w:t>
      </w:r>
    </w:p>
    <w:p w14:paraId="21BA8146" w14:textId="2B75C4D4" w:rsidR="00116E63" w:rsidRPr="00116E63" w:rsidRDefault="00116E63" w:rsidP="00116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E2EE1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Implications</w:t>
      </w:r>
    </w:p>
    <w:p w14:paraId="5459160C" w14:textId="77777777" w:rsidR="00116E63" w:rsidRPr="00116E63" w:rsidRDefault="00116E63" w:rsidP="00116E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Researchers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Can build on a common framework for evaluating social navigation.</w:t>
      </w:r>
    </w:p>
    <w:p w14:paraId="78AFBFEB" w14:textId="77777777" w:rsidR="00116E63" w:rsidRPr="00116E63" w:rsidRDefault="00116E63" w:rsidP="00116E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: Encouraged to design navigation algorithms with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acceptability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in mind.</w:t>
      </w:r>
    </w:p>
    <w:p w14:paraId="09629A5A" w14:textId="77777777" w:rsidR="00116E63" w:rsidRPr="00116E63" w:rsidRDefault="00116E63" w:rsidP="00116E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 bodies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: Should work toward shared APIs and simulation interfaces.</w:t>
      </w:r>
    </w:p>
    <w:p w14:paraId="6838339E" w14:textId="571E2E94" w:rsidR="00116E63" w:rsidRPr="00116E63" w:rsidRDefault="00116E63" w:rsidP="00116E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Human-Robot Interaction (HRI)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studies: Need better standardization in survey design and deployment.</w:t>
      </w:r>
    </w:p>
    <w:p w14:paraId="4F2127DD" w14:textId="77777777" w:rsidR="00116E63" w:rsidRPr="00116E63" w:rsidRDefault="00116E63" w:rsidP="00116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Future Directions</w:t>
      </w:r>
    </w:p>
    <w:p w14:paraId="46031F9A" w14:textId="77777777" w:rsidR="00116E63" w:rsidRPr="00116E63" w:rsidRDefault="00116E63" w:rsidP="00116E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Survey fatigue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and subjective variability pose challenges in large-scale evaluations.</w:t>
      </w:r>
    </w:p>
    <w:p w14:paraId="00E03A61" w14:textId="77777777" w:rsidR="00116E63" w:rsidRPr="00116E63" w:rsidRDefault="00116E63" w:rsidP="00116E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learned metric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fully substitutes for human judgments across all tasks.</w:t>
      </w:r>
    </w:p>
    <w:p w14:paraId="352C5023" w14:textId="77777777" w:rsidR="00116E63" w:rsidRPr="00116E63" w:rsidRDefault="00116E63" w:rsidP="00116E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Future work should focus on:</w:t>
      </w:r>
    </w:p>
    <w:p w14:paraId="000B31B3" w14:textId="42101CD2" w:rsidR="00116E63" w:rsidRPr="00116E63" w:rsidRDefault="00116E63" w:rsidP="00116E6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large, annotated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datasets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with both human and algorithmic metrics.</w:t>
      </w:r>
    </w:p>
    <w:p w14:paraId="487E5CFB" w14:textId="77777777" w:rsidR="00116E63" w:rsidRPr="00116E63" w:rsidRDefault="00116E63" w:rsidP="00116E6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Developing </w:t>
      </w:r>
      <w:r w:rsidRPr="00116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generalizable learned proxies</w:t>
      </w:r>
      <w:r w:rsidRPr="00116E63">
        <w:rPr>
          <w:rFonts w:ascii="Times New Roman" w:eastAsia="Times New Roman" w:hAnsi="Times New Roman" w:cs="Times New Roman"/>
          <w:kern w:val="0"/>
          <w14:ligatures w14:val="none"/>
        </w:rPr>
        <w:t xml:space="preserve"> for surveyed feedback.</w:t>
      </w:r>
    </w:p>
    <w:p w14:paraId="32C1ED2E" w14:textId="77777777" w:rsidR="00116E63" w:rsidRPr="00116E63" w:rsidRDefault="00116E63" w:rsidP="00116E6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6E63">
        <w:rPr>
          <w:rFonts w:ascii="Times New Roman" w:eastAsia="Times New Roman" w:hAnsi="Times New Roman" w:cs="Times New Roman"/>
          <w:kern w:val="0"/>
          <w14:ligatures w14:val="none"/>
        </w:rPr>
        <w:t>Improving cross-cultural and multi-stakeholder benchmarking.</w:t>
      </w:r>
    </w:p>
    <w:p w14:paraId="076F12E5" w14:textId="77777777" w:rsidR="00116E63" w:rsidRPr="00116E63" w:rsidRDefault="00116E63" w:rsidP="00116E63">
      <w:pPr>
        <w:rPr>
          <w:rFonts w:ascii="Times New Roman" w:hAnsi="Times New Roman" w:cs="Times New Roman"/>
        </w:rPr>
      </w:pPr>
    </w:p>
    <w:sectPr w:rsidR="00116E63" w:rsidRPr="0011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196B"/>
    <w:multiLevelType w:val="multilevel"/>
    <w:tmpl w:val="9DA6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60141"/>
    <w:multiLevelType w:val="multilevel"/>
    <w:tmpl w:val="B476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1521"/>
    <w:multiLevelType w:val="multilevel"/>
    <w:tmpl w:val="B11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C1A9D"/>
    <w:multiLevelType w:val="multilevel"/>
    <w:tmpl w:val="675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70A9"/>
    <w:multiLevelType w:val="multilevel"/>
    <w:tmpl w:val="A7A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29D"/>
    <w:multiLevelType w:val="multilevel"/>
    <w:tmpl w:val="625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447B2"/>
    <w:multiLevelType w:val="multilevel"/>
    <w:tmpl w:val="5FC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93A1D"/>
    <w:multiLevelType w:val="multilevel"/>
    <w:tmpl w:val="3B5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A2422"/>
    <w:multiLevelType w:val="multilevel"/>
    <w:tmpl w:val="EA9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C5CE2"/>
    <w:multiLevelType w:val="multilevel"/>
    <w:tmpl w:val="2B90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10658"/>
    <w:multiLevelType w:val="multilevel"/>
    <w:tmpl w:val="F8F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C1B3E"/>
    <w:multiLevelType w:val="multilevel"/>
    <w:tmpl w:val="94A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C6124"/>
    <w:multiLevelType w:val="multilevel"/>
    <w:tmpl w:val="C48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53A5E"/>
    <w:multiLevelType w:val="multilevel"/>
    <w:tmpl w:val="EF58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56E35"/>
    <w:multiLevelType w:val="multilevel"/>
    <w:tmpl w:val="906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303E0"/>
    <w:multiLevelType w:val="multilevel"/>
    <w:tmpl w:val="8D1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66B36"/>
    <w:multiLevelType w:val="multilevel"/>
    <w:tmpl w:val="A52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71C03"/>
    <w:multiLevelType w:val="multilevel"/>
    <w:tmpl w:val="BB5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8626">
    <w:abstractNumId w:val="9"/>
  </w:num>
  <w:num w:numId="2" w16cid:durableId="1486893800">
    <w:abstractNumId w:val="16"/>
  </w:num>
  <w:num w:numId="3" w16cid:durableId="63257980">
    <w:abstractNumId w:val="5"/>
  </w:num>
  <w:num w:numId="4" w16cid:durableId="1117020821">
    <w:abstractNumId w:val="8"/>
  </w:num>
  <w:num w:numId="5" w16cid:durableId="854466711">
    <w:abstractNumId w:val="7"/>
  </w:num>
  <w:num w:numId="6" w16cid:durableId="899245517">
    <w:abstractNumId w:val="17"/>
  </w:num>
  <w:num w:numId="7" w16cid:durableId="2019190602">
    <w:abstractNumId w:val="6"/>
  </w:num>
  <w:num w:numId="8" w16cid:durableId="1080326437">
    <w:abstractNumId w:val="10"/>
  </w:num>
  <w:num w:numId="9" w16cid:durableId="98335056">
    <w:abstractNumId w:val="0"/>
  </w:num>
  <w:num w:numId="10" w16cid:durableId="130831916">
    <w:abstractNumId w:val="13"/>
  </w:num>
  <w:num w:numId="11" w16cid:durableId="86925645">
    <w:abstractNumId w:val="4"/>
  </w:num>
  <w:num w:numId="12" w16cid:durableId="1123111978">
    <w:abstractNumId w:val="1"/>
  </w:num>
  <w:num w:numId="13" w16cid:durableId="1201623847">
    <w:abstractNumId w:val="2"/>
  </w:num>
  <w:num w:numId="14" w16cid:durableId="238059356">
    <w:abstractNumId w:val="15"/>
  </w:num>
  <w:num w:numId="15" w16cid:durableId="1863863911">
    <w:abstractNumId w:val="11"/>
  </w:num>
  <w:num w:numId="16" w16cid:durableId="1890454816">
    <w:abstractNumId w:val="3"/>
  </w:num>
  <w:num w:numId="17" w16cid:durableId="1575313215">
    <w:abstractNumId w:val="12"/>
  </w:num>
  <w:num w:numId="18" w16cid:durableId="5514239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63"/>
    <w:rsid w:val="00116E63"/>
    <w:rsid w:val="001D72CF"/>
    <w:rsid w:val="006E7150"/>
    <w:rsid w:val="0079588D"/>
    <w:rsid w:val="00965022"/>
    <w:rsid w:val="00F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6C5B"/>
  <w15:chartTrackingRefBased/>
  <w15:docId w15:val="{C212C0AD-6B12-B745-B318-0D32A11E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6E63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E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6E6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1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1145/37005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.sciencedirectassets.com/783247/1-s2.0-S2949882124X00031/1-s2.0-S2949882124000756/main.pdf?X-Amz-Security-Token=IQoJb3JpZ2luX2VjEGwaCXVzLWVhc3QtMSJGMEQCIEoIzquA7ChJCjhP%2B7y5jTm4nJTFZAymab9BldF%2FpqEAAiA0iZYF%2FwaHicCjWiRtMFdqNczr%2BZI0X7CNukJqZMWPvCqyBQhUEAUaDDA1OTAwMzU0Njg2NSIMqmWnROCBfkqYiT8iKo8FkaLt7cnVnVzELeycI9fIxGLW0Xu2OzYuF1cVn7QMQpBSAD3YGErF8sIR6lDjFCocS%2BuidHYgFk%2Foz9rDQp%2FCnichlTjY%2ByU%2BXWnoRHBvjz4rPKVhsjwfPzK9HLjHluL0bD6MVP61WdGRe9jeD%2FQy69nj%2FrvrF0pBkrmR6EkXDvAp8Y8vGMFAHtvtdEh%2Fq%2F8kcHXfL4PdCUnMjJJ5M0ZrQmNTzt1nLVxAlAwwDy%2B1AiktF6zGE3Bj6kSavqxMdDeehhoz3dCPi0z7RtEXl%2Fo8UL1BCKYcX0p57AGA59FeFwWSJH15HbMQn7pMS0fJevTwEIMTBYW0i%2ByBii2ogOdPEDoWxidPWgLcQ0pE7dyH9doIyQXWsKtnI3d96ZOWAal08VFUep4H%2BWQgTupgTfek1CAaytWioX0nSpnUViC2N19mDZZBvHbyxcVBf7Tl39kPWW13fsuVbfWyl3a7zLkqpUBLXypmFhM9wy%2FHOIraLbdsEc7ViOZ%2BMLhkHpsRpvFfpSjd9memUwBNqWaRz4ePgdAMK98Q76AmQPMRXX7Lr2GXO8mFNe35H1ZyTEKRjFxEjNGLGF7WVsWjPDyr%2BFL%2B0DbF%2FBbMEdArTvgWSuWoxT%2BMUC25Zwp21cjBiMMqBKr4uW7AFDHpUcz2laUykHSfBiuzoD5qmigsBQ6H0OMJQY95tHmIqp4zq29dtS0io%2Fl7YaBEmCFELvGf3LPtxZyQAN%2FcUUbLtQZRq6%2F2RloDOg7%2BQQv6bLRhfn083zwZ8FXZjqbjS4gCU4WfQnhxJu97auRpD91NmiQLGQny8ZnZ%2BSid9EgDEg02rdyi2SOfbhwZKY0Gvc677S8AnR4MaF242VC93CormD71yHJsODY9hDDxlL7CBjqyAcvkHnckIOqEijiXNYYo7SIkVNIOcVRDx1aFDDZomZg6cbeffAN5AEBv7xiMJ7vmBM%2FisWVq1tPSeN7d7Mc%2BT1GYDWEPO8Ng4cl%2F3ogQOZ%2BNALxmDl5ritE1aI4h6w4xlVuqSuXpWmEyEjQjjP2pdcoWN9sVqOunfDRobtt3%2BF0AbJjn3lgXLVcCm0yLgIsXo%2FZ1sj65jspnjTdk4G%2FFTvOYpAKXuS%2FdJk1%2FProiHfP6fss%3D&amp;X-Amz-Algorithm=AWS4-HMAC-SHA256&amp;X-Amz-Date=20250616T034706Z&amp;X-Amz-SignedHeaders=host&amp;X-Amz-Expires=300&amp;X-Amz-Credential=ASIAQ3PHCVTY5A7NTMNZ%2F20250616%2Fus-east-1%2Fs3%2Faws4_request&amp;X-Amz-Signature=5fa8ec1786293d6b308ea0cd8a2b4a1953e46f97ce157971847377dde5e80aa9&amp;hash=77ab041ebb5bd77ef7886680ada2e3a47596d8c3991499d3c85c5ba7b7f4094b&amp;host=68042c943591013ac2b2430a89b270f6af2c76d8dfd086a07176afe7c76c2c61&amp;pii=S2949882124000756&amp;tid=spdf-38d06903-9360-4657-92f7-2c125691aa3b&amp;sid=85ecd19e7d297341356b6d0736a1840a1ab8gxrqa&amp;type=client&amp;tsoh=d3d3LnNjaWVuY2VkaXJlY3QuY29t&amp;rh=d3d3LnNjaWVuY2VkaXJlY3QuY29t&amp;ua=0f155b5b5f53555506&amp;rr=950752ec5a51699c&amp;cc=us" TargetMode="External"/><Relationship Id="rId5" Type="http://schemas.openxmlformats.org/officeDocument/2006/relationships/hyperlink" Target="https://arxiv.org/pdf/2503.20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Ko</dc:creator>
  <cp:keywords/>
  <dc:description/>
  <cp:lastModifiedBy>Joseph Ko</cp:lastModifiedBy>
  <cp:revision>2</cp:revision>
  <dcterms:created xsi:type="dcterms:W3CDTF">2025-06-16T03:45:00Z</dcterms:created>
  <dcterms:modified xsi:type="dcterms:W3CDTF">2025-06-16T03:58:00Z</dcterms:modified>
</cp:coreProperties>
</file>