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8F30" w14:textId="726F0ED7" w:rsidR="006452C5" w:rsidRDefault="00325EB6" w:rsidP="00A0499D">
      <w:pPr>
        <w:spacing w:line="240" w:lineRule="auto"/>
      </w:pPr>
      <w:bookmarkStart w:id="0" w:name="_Hlk533170888"/>
      <w:r>
        <w:t xml:space="preserve">A total of </w:t>
      </w:r>
      <w:bookmarkStart w:id="1" w:name="_Hlk533169247"/>
      <w:r>
        <w:t>63</w:t>
      </w:r>
      <w:r w:rsidR="00B00A4F">
        <w:t>,</w:t>
      </w:r>
      <w:r w:rsidR="00552B6C">
        <w:t>282</w:t>
      </w:r>
      <w:r>
        <w:t xml:space="preserve"> </w:t>
      </w:r>
      <w:bookmarkEnd w:id="1"/>
      <w:r>
        <w:t>contrast injections between the dates of January 2005 and March 2018 were considered in the study.</w:t>
      </w:r>
      <w:r w:rsidR="00967248">
        <w:t xml:space="preserve">  There were 2</w:t>
      </w:r>
      <w:r w:rsidR="00C90FC5">
        <w:t>5</w:t>
      </w:r>
      <w:r w:rsidR="00967248">
        <w:t xml:space="preserve"> allergic-like reactions</w:t>
      </w:r>
      <w:r w:rsidR="00B00A4F">
        <w:t xml:space="preserve"> that </w:t>
      </w:r>
      <w:proofErr w:type="spellStart"/>
      <w:r w:rsidR="00B00A4F">
        <w:t>occured</w:t>
      </w:r>
      <w:proofErr w:type="spellEnd"/>
      <w:r w:rsidR="00967248">
        <w:t xml:space="preserve"> (14 mild; 7 </w:t>
      </w:r>
      <w:proofErr w:type="gramStart"/>
      <w:r w:rsidR="00967248">
        <w:t>moderate</w:t>
      </w:r>
      <w:proofErr w:type="gramEnd"/>
      <w:r w:rsidR="00967248">
        <w:t>; 1 severe) for an overall rate of 0.0</w:t>
      </w:r>
      <w:r w:rsidR="00C90FC5">
        <w:t>40</w:t>
      </w:r>
      <w:r w:rsidR="00967248">
        <w:t xml:space="preserve">%. </w:t>
      </w:r>
      <w:r w:rsidR="00B00A4F">
        <w:t>Of the reactions,</w:t>
      </w:r>
      <w:r w:rsidR="0069178D">
        <w:t xml:space="preserve"> 16 </w:t>
      </w:r>
      <w:r w:rsidR="00B00A4F">
        <w:t>were</w:t>
      </w:r>
      <w:r w:rsidR="0069178D">
        <w:t xml:space="preserve"> classified as “mild” (64%; </w:t>
      </w:r>
      <w:bookmarkStart w:id="2" w:name="_Hlk533170099"/>
      <w:r w:rsidR="0069178D">
        <w:t>signs of i</w:t>
      </w:r>
      <w:r w:rsidR="00674635">
        <w:t>tchiness of the throat and hives</w:t>
      </w:r>
      <w:bookmarkEnd w:id="2"/>
      <w:r w:rsidR="0069178D">
        <w:t>)</w:t>
      </w:r>
      <w:r w:rsidR="00674635">
        <w:t xml:space="preserve">, 8 as “moderate” (32%; </w:t>
      </w:r>
      <w:bookmarkStart w:id="3" w:name="_Hlk533170230"/>
      <w:r w:rsidR="00674635">
        <w:t>tightness of the face and/or throat</w:t>
      </w:r>
      <w:bookmarkEnd w:id="3"/>
      <w:r w:rsidR="00674635">
        <w:t xml:space="preserve">), and 1 as “severe” (4%; </w:t>
      </w:r>
      <w:bookmarkStart w:id="4" w:name="_Hlk533170277"/>
      <w:r w:rsidR="00674635">
        <w:t>difficulty breathing, followed by anaphylactic shock</w:t>
      </w:r>
      <w:bookmarkEnd w:id="4"/>
      <w:r w:rsidR="00674635">
        <w:t>).</w:t>
      </w:r>
      <w:r w:rsidR="00AA799E">
        <w:t xml:space="preserve"> </w:t>
      </w:r>
      <w:proofErr w:type="gramStart"/>
      <w:r w:rsidR="00DF588B">
        <w:t>T</w:t>
      </w:r>
      <w:r w:rsidR="00967248">
        <w:t>he majority of</w:t>
      </w:r>
      <w:proofErr w:type="gramEnd"/>
      <w:r w:rsidR="00674635">
        <w:t xml:space="preserve"> known</w:t>
      </w:r>
      <w:r w:rsidR="00967248">
        <w:t xml:space="preserve"> </w:t>
      </w:r>
      <w:r w:rsidR="00DF588B">
        <w:t>injections</w:t>
      </w:r>
      <w:r w:rsidR="00967248">
        <w:t xml:space="preserve"> were </w:t>
      </w:r>
      <w:proofErr w:type="spellStart"/>
      <w:r w:rsidR="00967248">
        <w:t>Magnevist</w:t>
      </w:r>
      <w:proofErr w:type="spellEnd"/>
      <w:r w:rsidR="00967248">
        <w:t xml:space="preserve"> (</w:t>
      </w:r>
      <w:r w:rsidR="00570CED">
        <w:t>31</w:t>
      </w:r>
      <w:r w:rsidR="00967248">
        <w:t xml:space="preserve">%) and </w:t>
      </w:r>
      <w:proofErr w:type="spellStart"/>
      <w:r w:rsidR="00967248">
        <w:t>Gadavist</w:t>
      </w:r>
      <w:proofErr w:type="spellEnd"/>
      <w:r w:rsidR="00967248">
        <w:t xml:space="preserve"> (</w:t>
      </w:r>
      <w:r w:rsidR="00570CED">
        <w:t>26</w:t>
      </w:r>
      <w:r w:rsidR="00967248">
        <w:t xml:space="preserve">%). </w:t>
      </w:r>
      <w:bookmarkStart w:id="5" w:name="_Hlk533169407"/>
      <w:r w:rsidR="00674635">
        <w:t xml:space="preserve">A large portion of injections were labeled as “Unknown”. </w:t>
      </w:r>
      <w:bookmarkEnd w:id="5"/>
      <w:r w:rsidR="00674635">
        <w:t xml:space="preserve">They were combined with other less frequent contrast agents and </w:t>
      </w:r>
      <w:r w:rsidR="00AA799E">
        <w:t>labeled as “Other” in Table 1</w:t>
      </w:r>
      <w:r w:rsidR="006452C5">
        <w:t xml:space="preserve">. Throughout the study, </w:t>
      </w:r>
      <w:proofErr w:type="spellStart"/>
      <w:r w:rsidR="006452C5">
        <w:t>Magnevist</w:t>
      </w:r>
      <w:proofErr w:type="spellEnd"/>
      <w:r w:rsidR="006452C5">
        <w:t xml:space="preserve"> injections resulted in 1</w:t>
      </w:r>
      <w:r w:rsidR="00DE20FC">
        <w:t>2</w:t>
      </w:r>
      <w:r w:rsidR="006452C5">
        <w:t xml:space="preserve"> reactions (</w:t>
      </w:r>
      <w:r w:rsidR="00570CED">
        <w:t>48</w:t>
      </w:r>
      <w:r w:rsidR="006452C5">
        <w:t xml:space="preserve">%), while </w:t>
      </w:r>
      <w:proofErr w:type="spellStart"/>
      <w:r w:rsidR="006452C5">
        <w:t>Gadavist</w:t>
      </w:r>
      <w:proofErr w:type="spellEnd"/>
      <w:r w:rsidR="006452C5">
        <w:t xml:space="preserve"> injections resulted in 1</w:t>
      </w:r>
      <w:r w:rsidR="00DE20FC">
        <w:t>1</w:t>
      </w:r>
      <w:r w:rsidR="006452C5">
        <w:t xml:space="preserve"> reactions (</w:t>
      </w:r>
      <w:r w:rsidR="00570CED">
        <w:t>44</w:t>
      </w:r>
      <w:r w:rsidR="006452C5">
        <w:t xml:space="preserve">%). </w:t>
      </w:r>
      <w:r w:rsidR="00570CED">
        <w:t>The b</w:t>
      </w:r>
      <w:r w:rsidR="006452C5">
        <w:t xml:space="preserve">rand of contrast agent was not found to be significantly associated with the type of reaction </w:t>
      </w:r>
      <w:proofErr w:type="spellStart"/>
      <w:r w:rsidR="006452C5">
        <w:t>reaction</w:t>
      </w:r>
      <w:proofErr w:type="spellEnd"/>
      <w:r w:rsidR="006452C5">
        <w:t xml:space="preserve"> (p=</w:t>
      </w:r>
      <w:r w:rsidR="00570CED">
        <w:t>0.654</w:t>
      </w:r>
      <w:r w:rsidR="006452C5">
        <w:t>).</w:t>
      </w:r>
      <w:r w:rsidR="00B00A4F">
        <w:t xml:space="preserve"> </w:t>
      </w:r>
    </w:p>
    <w:p w14:paraId="61021456" w14:textId="3DACA406" w:rsidR="00DF588B" w:rsidRDefault="00967248" w:rsidP="00A0499D">
      <w:pPr>
        <w:spacing w:line="240" w:lineRule="auto"/>
      </w:pPr>
      <w:r>
        <w:t xml:space="preserve">Most </w:t>
      </w:r>
      <w:proofErr w:type="spellStart"/>
      <w:r>
        <w:t>Magnevist</w:t>
      </w:r>
      <w:proofErr w:type="spellEnd"/>
      <w:r>
        <w:t xml:space="preserve"> agents were given prior to the 2015 switch</w:t>
      </w:r>
      <w:r w:rsidR="00B00A4F">
        <w:t xml:space="preserve"> (</w:t>
      </w:r>
      <w:r w:rsidR="00DE20FC">
        <w:t>9</w:t>
      </w:r>
      <w:r w:rsidR="00EC2101">
        <w:t>9</w:t>
      </w:r>
      <w:r w:rsidR="00DE20FC">
        <w:t>%</w:t>
      </w:r>
      <w:r w:rsidR="00B00A4F">
        <w:t>)</w:t>
      </w:r>
      <w:r>
        <w:t xml:space="preserve">, while all </w:t>
      </w:r>
      <w:proofErr w:type="spellStart"/>
      <w:r>
        <w:t>Gadavist</w:t>
      </w:r>
      <w:proofErr w:type="spellEnd"/>
      <w:r>
        <w:t xml:space="preserve"> agents were given after the 2015 switch</w:t>
      </w:r>
      <w:r w:rsidR="00570CED">
        <w:t xml:space="preserve"> (100%)</w:t>
      </w:r>
      <w:r>
        <w:t>.</w:t>
      </w:r>
      <w:r w:rsidR="00DF588B">
        <w:t xml:space="preserve"> </w:t>
      </w:r>
      <w:r w:rsidR="00966AA1">
        <w:t>F</w:t>
      </w:r>
      <w:r w:rsidR="00DE20FC">
        <w:t>rom Table 2, we see that there</w:t>
      </w:r>
      <w:r>
        <w:t xml:space="preserve"> were 45,795 (72%) injections that occurred prior to the primary switch </w:t>
      </w:r>
      <w:r w:rsidR="00570CED">
        <w:t>of</w:t>
      </w:r>
      <w:r>
        <w:t xml:space="preserve"> contrast agents in 2015. </w:t>
      </w:r>
      <w:r w:rsidR="00325EB6">
        <w:t>During this time 13 allergic-</w:t>
      </w:r>
      <w:r w:rsidR="00570CED">
        <w:t xml:space="preserve">like </w:t>
      </w:r>
      <w:r w:rsidR="00325EB6">
        <w:t>reactions</w:t>
      </w:r>
      <w:r w:rsidR="009B7CE3">
        <w:t xml:space="preserve"> occurred among the patients for a reaction </w:t>
      </w:r>
      <w:r w:rsidR="00570CED">
        <w:t>rate</w:t>
      </w:r>
      <w:r w:rsidR="009B7CE3">
        <w:t xml:space="preserve"> of 0.028%. </w:t>
      </w:r>
      <w:r w:rsidR="00DE20FC">
        <w:t>T</w:t>
      </w:r>
      <w:r w:rsidR="009B7CE3">
        <w:t>here were 1748</w:t>
      </w:r>
      <w:r w:rsidR="00DE20FC">
        <w:t>7</w:t>
      </w:r>
      <w:r w:rsidR="009B7CE3">
        <w:t xml:space="preserve"> injections that occurred after the switch, </w:t>
      </w:r>
      <w:r w:rsidR="00DE20FC">
        <w:t>12</w:t>
      </w:r>
      <w:r w:rsidR="009B7CE3">
        <w:t xml:space="preserve"> of which resulted in allergic-like reactions (0.0</w:t>
      </w:r>
      <w:r w:rsidR="00DE20FC">
        <w:t>69</w:t>
      </w:r>
      <w:r w:rsidR="009B7CE3">
        <w:t xml:space="preserve">%). </w:t>
      </w:r>
    </w:p>
    <w:p w14:paraId="4249C790" w14:textId="4A0D1868" w:rsidR="002679DB" w:rsidRDefault="002679DB" w:rsidP="00A0499D">
      <w:pPr>
        <w:spacing w:line="240" w:lineRule="auto"/>
      </w:pPr>
      <w:r>
        <w:t>Figure 1 demonstrates the aggregate number of injections  according to bi-</w:t>
      </w:r>
      <w:r w:rsidR="00570CED">
        <w:t>yearly</w:t>
      </w:r>
      <w:r>
        <w:t xml:space="preserve"> intervals for each of the three types of contrast agents considered in the study. We see that prior to the 1</w:t>
      </w:r>
      <w:r w:rsidRPr="002679DB">
        <w:rPr>
          <w:vertAlign w:val="superscript"/>
        </w:rPr>
        <w:t>st</w:t>
      </w:r>
      <w:r>
        <w:t xml:space="preserve"> half of 2010, </w:t>
      </w:r>
      <w:proofErr w:type="gramStart"/>
      <w:r>
        <w:t>all of</w:t>
      </w:r>
      <w:proofErr w:type="gramEnd"/>
      <w:r>
        <w:t xml:space="preserve"> the contrast agents used were considered “Other”.</w:t>
      </w:r>
      <w:r w:rsidR="00570CED">
        <w:t xml:space="preserve"> Within this interval,</w:t>
      </w:r>
      <w:r>
        <w:t xml:space="preserve"> </w:t>
      </w:r>
      <w:r w:rsidR="00570CED">
        <w:t>t</w:t>
      </w:r>
      <w:r>
        <w:t xml:space="preserve">he entirety of these injections </w:t>
      </w:r>
      <w:proofErr w:type="gramStart"/>
      <w:r>
        <w:t>were</w:t>
      </w:r>
      <w:proofErr w:type="gramEnd"/>
      <w:r>
        <w:t xml:space="preserve"> not accurately recorded</w:t>
      </w:r>
      <w:r w:rsidR="00570CED">
        <w:t>, and</w:t>
      </w:r>
      <w:r>
        <w:t xml:space="preserve"> labeled as “Unknown”</w:t>
      </w:r>
      <w:r w:rsidR="00570CED">
        <w:t xml:space="preserve"> at the time</w:t>
      </w:r>
      <w:r>
        <w:t xml:space="preserve">. In the intervals between the 1st </w:t>
      </w:r>
      <w:r w:rsidR="00570CED">
        <w:t>half</w:t>
      </w:r>
      <w:r>
        <w:t xml:space="preserve"> of 2011 to the 1</w:t>
      </w:r>
      <w:r w:rsidRPr="002679DB">
        <w:rPr>
          <w:vertAlign w:val="superscript"/>
        </w:rPr>
        <w:t>st</w:t>
      </w:r>
      <w:r>
        <w:t xml:space="preserve"> </w:t>
      </w:r>
      <w:r w:rsidR="00570CED">
        <w:t>half</w:t>
      </w:r>
      <w:r>
        <w:t xml:space="preserve"> of 2015 (where the switching of agents occurred), most injects were </w:t>
      </w:r>
      <w:proofErr w:type="spellStart"/>
      <w:r>
        <w:t>Magnevist</w:t>
      </w:r>
      <w:proofErr w:type="spellEnd"/>
      <w:r>
        <w:t>. Following, the 1</w:t>
      </w:r>
      <w:r w:rsidRPr="002679DB">
        <w:rPr>
          <w:vertAlign w:val="superscript"/>
        </w:rPr>
        <w:t>st</w:t>
      </w:r>
      <w:r>
        <w:t xml:space="preserve"> </w:t>
      </w:r>
      <w:r w:rsidR="00570CED">
        <w:t>half</w:t>
      </w:r>
      <w:r>
        <w:t xml:space="preserve"> of 2015, </w:t>
      </w:r>
      <w:proofErr w:type="gramStart"/>
      <w:r>
        <w:t>the majority of</w:t>
      </w:r>
      <w:proofErr w:type="gramEnd"/>
      <w:r>
        <w:t xml:space="preserve"> contrast agents were </w:t>
      </w:r>
      <w:proofErr w:type="spellStart"/>
      <w:r>
        <w:t>Gadavist</w:t>
      </w:r>
      <w:proofErr w:type="spellEnd"/>
      <w:r>
        <w:t>.</w:t>
      </w:r>
    </w:p>
    <w:p w14:paraId="65532EFF" w14:textId="19E8F0C9" w:rsidR="00DF588B" w:rsidRDefault="00DE20FC" w:rsidP="00A0499D">
      <w:pPr>
        <w:spacing w:line="240" w:lineRule="auto"/>
      </w:pPr>
      <w:r>
        <w:t>Table 3 summarizes the number of allergic-like reactions and injections of the different contrast agent</w:t>
      </w:r>
      <w:r w:rsidR="003E7754">
        <w:t>s</w:t>
      </w:r>
      <w:r>
        <w:t xml:space="preserve"> by age and sex during the study period.</w:t>
      </w:r>
      <w:r w:rsidR="00CD532A">
        <w:t xml:space="preserve"> When compared to males,</w:t>
      </w:r>
      <w:r>
        <w:t xml:space="preserve"> </w:t>
      </w:r>
      <w:r w:rsidR="00CD532A">
        <w:t>f</w:t>
      </w:r>
      <w:r w:rsidR="00BE33C6">
        <w:t>emales were found to have slightly higher rates of allergic-like reactions</w:t>
      </w:r>
      <w:r w:rsidR="00CD532A">
        <w:t xml:space="preserve"> for all contrast agents (OR = </w:t>
      </w:r>
      <w:r w:rsidR="00CD532A" w:rsidRPr="00CD532A">
        <w:t>1.72</w:t>
      </w:r>
      <w:r w:rsidR="00CD532A">
        <w:t>; 95% CI</w:t>
      </w:r>
      <w:r w:rsidR="00CD532A" w:rsidRPr="00CD532A">
        <w:t xml:space="preserve"> (0.76, 3.90)</w:t>
      </w:r>
      <w:r w:rsidR="00CD532A">
        <w:t>). However, it was found that age was significantly associated with reaction rate, with patients younger than 9 months of age least likely to have an allergic-like reaction (</w:t>
      </w:r>
      <w:r w:rsidR="00CD532A" w:rsidRPr="00CD532A">
        <w:t>0.010</w:t>
      </w:r>
      <w:r w:rsidR="00CD532A">
        <w:t>%</w:t>
      </w:r>
      <w:r w:rsidR="00CD532A" w:rsidRPr="00CD532A">
        <w:t xml:space="preserve"> (2/20395)</w:t>
      </w:r>
      <w:r w:rsidR="00CD532A">
        <w:t xml:space="preserve">; p = </w:t>
      </w:r>
      <w:r w:rsidR="00CD532A" w:rsidRPr="00CD532A">
        <w:t>0.002</w:t>
      </w:r>
      <w:r w:rsidR="00CD532A">
        <w:t xml:space="preserve">). </w:t>
      </w:r>
    </w:p>
    <w:p w14:paraId="699A1D4C" w14:textId="6C9CD029" w:rsidR="00DF588B" w:rsidRDefault="003E7754" w:rsidP="00A0499D">
      <w:pPr>
        <w:spacing w:line="240" w:lineRule="auto"/>
      </w:pPr>
      <w:r>
        <w:t xml:space="preserve">Comparisons of the overall rates of allergic-like reactions between each type of contrast are summarized in Table 4. </w:t>
      </w:r>
      <w:r w:rsidR="00FE71DD">
        <w:t xml:space="preserve">When compared to contrast agents classified as “Other”, both </w:t>
      </w:r>
      <w:proofErr w:type="spellStart"/>
      <w:r w:rsidR="00FE71DD">
        <w:t>Gadavist</w:t>
      </w:r>
      <w:proofErr w:type="spellEnd"/>
      <w:r w:rsidR="00FE71DD">
        <w:t xml:space="preserve"> and </w:t>
      </w:r>
      <w:proofErr w:type="spellStart"/>
      <w:r w:rsidR="00FE71DD">
        <w:t>Magnevist</w:t>
      </w:r>
      <w:proofErr w:type="spellEnd"/>
      <w:r w:rsidR="00FE71DD">
        <w:t xml:space="preserve"> contrasts were associated with significantly higher rates of allergic-like reactions (OR = 9.33 and 8.41 respectively). There was not a significant difference in the rates of allergic-like reactions between </w:t>
      </w:r>
      <w:proofErr w:type="spellStart"/>
      <w:r w:rsidR="00FE71DD">
        <w:t>Gadavist</w:t>
      </w:r>
      <w:proofErr w:type="spellEnd"/>
      <w:r w:rsidR="00FE71DD">
        <w:t xml:space="preserve"> and </w:t>
      </w:r>
      <w:proofErr w:type="spellStart"/>
      <w:r w:rsidR="00FE71DD">
        <w:t>Magnevist</w:t>
      </w:r>
      <w:proofErr w:type="spellEnd"/>
      <w:r w:rsidR="00FE71DD">
        <w:t xml:space="preserve"> contrast agents</w:t>
      </w:r>
      <w:r w:rsidR="00570CED">
        <w:t>, however</w:t>
      </w:r>
      <w:r w:rsidR="00FE71DD">
        <w:t>.</w:t>
      </w:r>
    </w:p>
    <w:p w14:paraId="50AC348A" w14:textId="130CB3BE" w:rsidR="002A5F26" w:rsidRDefault="00FE71DD" w:rsidP="00A0499D">
      <w:pPr>
        <w:spacing w:line="240" w:lineRule="auto"/>
      </w:pPr>
      <w:r>
        <w:t>The rates of allergic-like reactions during two-year intervals beginning in the 2</w:t>
      </w:r>
      <w:r w:rsidRPr="00FE71DD">
        <w:rPr>
          <w:vertAlign w:val="superscript"/>
        </w:rPr>
        <w:t>nd</w:t>
      </w:r>
      <w:r>
        <w:t xml:space="preserve"> quarter of 2005 until the 1</w:t>
      </w:r>
      <w:r w:rsidRPr="00FE71DD">
        <w:rPr>
          <w:vertAlign w:val="superscript"/>
        </w:rPr>
        <w:t>st</w:t>
      </w:r>
      <w:r>
        <w:t xml:space="preserve"> quarter of 2018 </w:t>
      </w:r>
      <w:r w:rsidR="00DB4E39">
        <w:t>are presented in Table 5. It was found that the rate of reactions during the 8 quarters from the 2</w:t>
      </w:r>
      <w:r w:rsidR="00DB4E39" w:rsidRPr="00DB4E39">
        <w:rPr>
          <w:vertAlign w:val="superscript"/>
        </w:rPr>
        <w:t>nd</w:t>
      </w:r>
      <w:r w:rsidR="00DB4E39">
        <w:t xml:space="preserve"> quarter of 2011 to the 1</w:t>
      </w:r>
      <w:r w:rsidR="00DB4E39" w:rsidRPr="00DB4E39">
        <w:rPr>
          <w:vertAlign w:val="superscript"/>
        </w:rPr>
        <w:t>st</w:t>
      </w:r>
      <w:r w:rsidR="00DB4E39">
        <w:t xml:space="preserve"> quarter of 2013 were significantly higher than all other intervals (OR = 2.49 (1.07, 5.77); p = 0.028). The two</w:t>
      </w:r>
      <w:r w:rsidR="002679DB">
        <w:t>-</w:t>
      </w:r>
      <w:r w:rsidR="00DB4E39">
        <w:t xml:space="preserve">year interval immediately after the switch from </w:t>
      </w:r>
      <w:proofErr w:type="spellStart"/>
      <w:r w:rsidR="00DB4E39">
        <w:t>Magnevist</w:t>
      </w:r>
      <w:proofErr w:type="spellEnd"/>
      <w:r w:rsidR="00DB4E39">
        <w:t xml:space="preserve"> to </w:t>
      </w:r>
      <w:proofErr w:type="spellStart"/>
      <w:r w:rsidR="00DB4E39">
        <w:t>Gadavist</w:t>
      </w:r>
      <w:proofErr w:type="spellEnd"/>
      <w:r w:rsidR="00DB4E39">
        <w:t xml:space="preserve"> agents also exhibited slightly higher rates of reactions, although not statistically significant (OR = </w:t>
      </w:r>
      <w:r w:rsidR="00DB4E39" w:rsidRPr="00DB4E39">
        <w:t>1.97 (0.85, 4.57)</w:t>
      </w:r>
      <w:r w:rsidR="00DB4E39">
        <w:t xml:space="preserve">; p = 0.107). </w:t>
      </w:r>
      <w:r w:rsidR="002679DB">
        <w:t xml:space="preserve">Figure 2 demonstrates the changing reaction rates during bi-quarterly intervals throughout the study. </w:t>
      </w:r>
      <w:r w:rsidR="002A5F26">
        <w:t>The distinct peak between the 2</w:t>
      </w:r>
      <w:r w:rsidR="002A5F26" w:rsidRPr="002A5F26">
        <w:rPr>
          <w:vertAlign w:val="superscript"/>
        </w:rPr>
        <w:t>nd</w:t>
      </w:r>
      <w:r w:rsidR="002A5F26">
        <w:t xml:space="preserve"> quarter of 2010 and the 1</w:t>
      </w:r>
      <w:r w:rsidR="002A5F26" w:rsidRPr="002A5F26">
        <w:rPr>
          <w:vertAlign w:val="superscript"/>
        </w:rPr>
        <w:t>st</w:t>
      </w:r>
      <w:r w:rsidR="002A5F26">
        <w:t xml:space="preserve"> quarter of 2012 is clearly present. Additionally, there were two</w:t>
      </w:r>
      <w:r w:rsidR="007E2597">
        <w:t xml:space="preserve"> smaller</w:t>
      </w:r>
      <w:r w:rsidR="002A5F26">
        <w:t xml:space="preserve"> peaks in reaction rates after the 1</w:t>
      </w:r>
      <w:r w:rsidR="002A5F26" w:rsidRPr="002A5F26">
        <w:rPr>
          <w:vertAlign w:val="superscript"/>
        </w:rPr>
        <w:t>st</w:t>
      </w:r>
      <w:r w:rsidR="002A5F26">
        <w:t xml:space="preserve"> quarter of 2015, where the switch occurred.</w:t>
      </w:r>
      <w:r w:rsidR="007E2597">
        <w:t xml:space="preserve">  </w:t>
      </w:r>
      <w:bookmarkEnd w:id="0"/>
    </w:p>
    <w:p w14:paraId="3841E744" w14:textId="24AFB9E1" w:rsidR="002A5F26" w:rsidRDefault="002A5F26" w:rsidP="002A5F26"/>
    <w:p w14:paraId="047AB952" w14:textId="73242453" w:rsidR="00A023EE" w:rsidRDefault="00A023EE" w:rsidP="002A5F26"/>
    <w:p w14:paraId="4C92846E" w14:textId="2BEF489A" w:rsidR="00A023EE" w:rsidRDefault="00A023EE" w:rsidP="002A5F26"/>
    <w:p w14:paraId="15C11137" w14:textId="2ABE3995" w:rsidR="00A023EE" w:rsidRDefault="00A023EE" w:rsidP="002A5F26"/>
    <w:p w14:paraId="5EB3D15C" w14:textId="33739429" w:rsidR="00A023EE" w:rsidRDefault="00A023EE" w:rsidP="002A5F26"/>
    <w:p w14:paraId="7407A549" w14:textId="645CCACB" w:rsidR="00A023EE" w:rsidRDefault="00A023EE" w:rsidP="002A5F26"/>
    <w:p w14:paraId="56DCAF87" w14:textId="77777777" w:rsidR="00A023EE" w:rsidRDefault="00A023EE" w:rsidP="002A5F26">
      <w:bookmarkStart w:id="6" w:name="_Hlk533170992"/>
      <w:bookmarkStart w:id="7" w:name="_GoBack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689"/>
        <w:gridCol w:w="1411"/>
        <w:gridCol w:w="1411"/>
        <w:gridCol w:w="1292"/>
        <w:gridCol w:w="1073"/>
        <w:gridCol w:w="954"/>
      </w:tblGrid>
      <w:tr w:rsidR="00ED4F74" w:rsidRPr="00ED4F74" w14:paraId="7220ADD9" w14:textId="77777777" w:rsidTr="00ED4F74">
        <w:trPr>
          <w:trHeight w:val="350"/>
        </w:trPr>
        <w:tc>
          <w:tcPr>
            <w:tcW w:w="1540" w:type="dxa"/>
            <w:tcBorders>
              <w:top w:val="single" w:sz="4" w:space="0" w:color="auto"/>
            </w:tcBorders>
            <w:noWrap/>
            <w:hideMark/>
          </w:tcPr>
          <w:p w14:paraId="71AD4A99" w14:textId="77777777" w:rsidR="00ED4F74" w:rsidRPr="00ED4F74" w:rsidRDefault="00ED4F74" w:rsidP="00ED4F74"/>
        </w:tc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2013B590" w14:textId="77777777" w:rsidR="00ED4F74" w:rsidRPr="00ED4F74" w:rsidRDefault="00ED4F74" w:rsidP="00ED4F74"/>
        </w:tc>
        <w:tc>
          <w:tcPr>
            <w:tcW w:w="1420" w:type="dxa"/>
            <w:tcBorders>
              <w:top w:val="single" w:sz="4" w:space="0" w:color="auto"/>
            </w:tcBorders>
            <w:noWrap/>
            <w:hideMark/>
          </w:tcPr>
          <w:p w14:paraId="2F291108" w14:textId="77777777" w:rsidR="00ED4F74" w:rsidRPr="00ED4F74" w:rsidRDefault="00ED4F74" w:rsidP="00ED4F74"/>
        </w:tc>
        <w:tc>
          <w:tcPr>
            <w:tcW w:w="3800" w:type="dxa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57F30D4" w14:textId="77777777" w:rsidR="00ED4F74" w:rsidRPr="00ED4F74" w:rsidRDefault="00ED4F74" w:rsidP="00ED4F74">
            <w:pPr>
              <w:jc w:val="center"/>
              <w:rPr>
                <w:b/>
              </w:rPr>
            </w:pPr>
            <w:r w:rsidRPr="00ED4F74">
              <w:rPr>
                <w:b/>
              </w:rPr>
              <w:t>Type of Allergic-like Reaction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0B811574" w14:textId="77777777" w:rsidR="00ED4F74" w:rsidRPr="00ED4F74" w:rsidRDefault="00ED4F74" w:rsidP="00ED4F74"/>
        </w:tc>
      </w:tr>
      <w:tr w:rsidR="00ED4F74" w:rsidRPr="00ED4F74" w14:paraId="4640A79A" w14:textId="77777777" w:rsidTr="00ED4F74">
        <w:trPr>
          <w:trHeight w:val="600"/>
        </w:trPr>
        <w:tc>
          <w:tcPr>
            <w:tcW w:w="1540" w:type="dxa"/>
            <w:tcBorders>
              <w:bottom w:val="single" w:sz="4" w:space="0" w:color="auto"/>
            </w:tcBorders>
            <w:hideMark/>
          </w:tcPr>
          <w:p w14:paraId="6ABA4C33" w14:textId="77777777" w:rsidR="00ED4F74" w:rsidRPr="00ED4F74" w:rsidRDefault="00ED4F74" w:rsidP="00ED4F74">
            <w:pPr>
              <w:rPr>
                <w:b/>
              </w:rPr>
            </w:pPr>
            <w:r w:rsidRPr="00ED4F74">
              <w:rPr>
                <w:b/>
              </w:rPr>
              <w:t>Contrast Agent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hideMark/>
          </w:tcPr>
          <w:p w14:paraId="080A2FCD" w14:textId="77777777" w:rsidR="00ED4F74" w:rsidRPr="00ED4F74" w:rsidRDefault="00ED4F74" w:rsidP="00ED4F74">
            <w:pPr>
              <w:rPr>
                <w:b/>
              </w:rPr>
            </w:pPr>
            <w:r w:rsidRPr="00ED4F74">
              <w:rPr>
                <w:b/>
              </w:rPr>
              <w:t>No. of Injections (N=63282)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hideMark/>
          </w:tcPr>
          <w:p w14:paraId="09D874D6" w14:textId="77777777" w:rsidR="00ED4F74" w:rsidRPr="00ED4F74" w:rsidRDefault="00ED4F74" w:rsidP="00ED4F74">
            <w:pPr>
              <w:rPr>
                <w:b/>
              </w:rPr>
            </w:pPr>
            <w:r w:rsidRPr="00ED4F74">
              <w:rPr>
                <w:b/>
              </w:rPr>
              <w:t>All Reactions (N=25)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006F368" w14:textId="77777777" w:rsidR="00ED4F74" w:rsidRPr="00ED4F74" w:rsidRDefault="00ED4F74" w:rsidP="00ED4F74">
            <w:pPr>
              <w:rPr>
                <w:b/>
              </w:rPr>
            </w:pPr>
            <w:r w:rsidRPr="00ED4F74">
              <w:rPr>
                <w:b/>
              </w:rPr>
              <w:t>Mild (N=16)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B4C96E" w14:textId="77777777" w:rsidR="00ED4F74" w:rsidRPr="00ED4F74" w:rsidRDefault="00ED4F74" w:rsidP="00ED4F74">
            <w:pPr>
              <w:rPr>
                <w:b/>
              </w:rPr>
            </w:pPr>
            <w:r w:rsidRPr="00ED4F74">
              <w:rPr>
                <w:b/>
              </w:rPr>
              <w:t>Moderate (N=8)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A042F8" w14:textId="77777777" w:rsidR="00ED4F74" w:rsidRPr="00ED4F74" w:rsidRDefault="00ED4F74" w:rsidP="00ED4F74">
            <w:pPr>
              <w:rPr>
                <w:b/>
              </w:rPr>
            </w:pPr>
            <w:r w:rsidRPr="00ED4F74">
              <w:rPr>
                <w:b/>
              </w:rPr>
              <w:t>Severe (N=1)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hideMark/>
          </w:tcPr>
          <w:p w14:paraId="66362545" w14:textId="77777777" w:rsidR="00ED4F74" w:rsidRPr="00ED4F74" w:rsidRDefault="00ED4F74" w:rsidP="00ED4F74">
            <w:pPr>
              <w:rPr>
                <w:b/>
              </w:rPr>
            </w:pPr>
            <w:r w:rsidRPr="00ED4F74">
              <w:rPr>
                <w:b/>
              </w:rPr>
              <w:t>P-Value</w:t>
            </w:r>
          </w:p>
        </w:tc>
      </w:tr>
      <w:tr w:rsidR="00ED4F74" w:rsidRPr="00ED4F74" w14:paraId="2A9DD93D" w14:textId="77777777" w:rsidTr="00ED4F74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noWrap/>
            <w:hideMark/>
          </w:tcPr>
          <w:p w14:paraId="396A8920" w14:textId="77777777" w:rsidR="00ED4F74" w:rsidRPr="00ED4F74" w:rsidRDefault="00ED4F74" w:rsidP="00ED4F74">
            <w:proofErr w:type="spellStart"/>
            <w:r w:rsidRPr="00ED4F74">
              <w:t>Gadavist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471B63B8" w14:textId="50B6A738" w:rsidR="00ED4F74" w:rsidRPr="00ED4F74" w:rsidRDefault="00ED4F74" w:rsidP="00ED4F74">
            <w:r w:rsidRPr="00ED4F74">
              <w:t>16204</w:t>
            </w:r>
            <w:r>
              <w:t xml:space="preserve"> (26%)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noWrap/>
            <w:hideMark/>
          </w:tcPr>
          <w:p w14:paraId="00CD748C" w14:textId="6D968B19" w:rsidR="00ED4F74" w:rsidRPr="00ED4F74" w:rsidRDefault="00ED4F74" w:rsidP="00ED4F74">
            <w:r w:rsidRPr="00ED4F74">
              <w:t>11</w:t>
            </w:r>
            <w:r>
              <w:t xml:space="preserve"> (44%)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noWrap/>
            <w:hideMark/>
          </w:tcPr>
          <w:p w14:paraId="64FCC525" w14:textId="12CF82D1" w:rsidR="00ED4F74" w:rsidRPr="00ED4F74" w:rsidRDefault="00ED4F74" w:rsidP="00ED4F74">
            <w:r w:rsidRPr="00ED4F74">
              <w:t>7</w:t>
            </w:r>
            <w:r>
              <w:t xml:space="preserve"> (44%)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02415AD" w14:textId="4896EF78" w:rsidR="00ED4F74" w:rsidRPr="00ED4F74" w:rsidRDefault="00ED4F74" w:rsidP="00ED4F74">
            <w:r w:rsidRPr="00ED4F74">
              <w:t>3</w:t>
            </w:r>
            <w:r>
              <w:t xml:space="preserve"> (</w:t>
            </w:r>
            <w:r w:rsidR="00966AA1">
              <w:t>38</w:t>
            </w:r>
            <w:r>
              <w:t>%)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3606F1C" w14:textId="6BD1C8BE" w:rsidR="00ED4F74" w:rsidRPr="00ED4F74" w:rsidRDefault="00ED4F74" w:rsidP="00ED4F74">
            <w:r w:rsidRPr="00ED4F74">
              <w:t>1</w:t>
            </w:r>
            <w:r>
              <w:t xml:space="preserve"> (</w:t>
            </w:r>
            <w:r w:rsidR="00966AA1">
              <w:t>100</w:t>
            </w:r>
            <w:r>
              <w:t>%)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75932FCE" w14:textId="77777777" w:rsidR="00ED4F74" w:rsidRPr="00ED4F74" w:rsidRDefault="00ED4F74" w:rsidP="00ED4F74">
            <w:r w:rsidRPr="00ED4F74">
              <w:t>0.654</w:t>
            </w:r>
          </w:p>
        </w:tc>
      </w:tr>
      <w:tr w:rsidR="00ED4F74" w:rsidRPr="00ED4F74" w14:paraId="5AF54DA1" w14:textId="77777777" w:rsidTr="00ED4F74">
        <w:trPr>
          <w:trHeight w:val="300"/>
        </w:trPr>
        <w:tc>
          <w:tcPr>
            <w:tcW w:w="1540" w:type="dxa"/>
            <w:noWrap/>
            <w:hideMark/>
          </w:tcPr>
          <w:p w14:paraId="04A3C61E" w14:textId="77777777" w:rsidR="00ED4F74" w:rsidRPr="00ED4F74" w:rsidRDefault="00ED4F74" w:rsidP="00ED4F74">
            <w:proofErr w:type="spellStart"/>
            <w:r w:rsidRPr="00ED4F74">
              <w:t>Magnevist</w:t>
            </w:r>
            <w:proofErr w:type="spellEnd"/>
          </w:p>
        </w:tc>
        <w:tc>
          <w:tcPr>
            <w:tcW w:w="1700" w:type="dxa"/>
            <w:noWrap/>
            <w:hideMark/>
          </w:tcPr>
          <w:p w14:paraId="19F40EEB" w14:textId="6A26A815" w:rsidR="00ED4F74" w:rsidRPr="00ED4F74" w:rsidRDefault="00ED4F74" w:rsidP="00ED4F74">
            <w:r w:rsidRPr="00ED4F74">
              <w:t>19615</w:t>
            </w:r>
            <w:r>
              <w:t xml:space="preserve"> (31%)</w:t>
            </w:r>
          </w:p>
        </w:tc>
        <w:tc>
          <w:tcPr>
            <w:tcW w:w="1420" w:type="dxa"/>
            <w:noWrap/>
            <w:hideMark/>
          </w:tcPr>
          <w:p w14:paraId="42ED12AE" w14:textId="5025B607" w:rsidR="00ED4F74" w:rsidRPr="00ED4F74" w:rsidRDefault="00ED4F74" w:rsidP="00ED4F74">
            <w:r w:rsidRPr="00ED4F74">
              <w:t>12</w:t>
            </w:r>
            <w:r>
              <w:t xml:space="preserve"> (48%)</w:t>
            </w:r>
          </w:p>
        </w:tc>
        <w:tc>
          <w:tcPr>
            <w:tcW w:w="1420" w:type="dxa"/>
            <w:noWrap/>
            <w:hideMark/>
          </w:tcPr>
          <w:p w14:paraId="1BF277BA" w14:textId="79601CD8" w:rsidR="00ED4F74" w:rsidRPr="00ED4F74" w:rsidRDefault="00ED4F74" w:rsidP="00ED4F74">
            <w:r w:rsidRPr="00ED4F74">
              <w:t>7</w:t>
            </w:r>
            <w:r>
              <w:t xml:space="preserve"> (44%)</w:t>
            </w:r>
          </w:p>
        </w:tc>
        <w:tc>
          <w:tcPr>
            <w:tcW w:w="1300" w:type="dxa"/>
            <w:noWrap/>
            <w:hideMark/>
          </w:tcPr>
          <w:p w14:paraId="3FE7DE3B" w14:textId="47259905" w:rsidR="00ED4F74" w:rsidRPr="00ED4F74" w:rsidRDefault="00ED4F74" w:rsidP="00ED4F74">
            <w:r w:rsidRPr="00ED4F74">
              <w:t>5</w:t>
            </w:r>
            <w:r>
              <w:t xml:space="preserve"> (</w:t>
            </w:r>
            <w:r w:rsidR="00966AA1">
              <w:t>63</w:t>
            </w:r>
            <w:r>
              <w:t>%)</w:t>
            </w:r>
          </w:p>
        </w:tc>
        <w:tc>
          <w:tcPr>
            <w:tcW w:w="1080" w:type="dxa"/>
            <w:noWrap/>
            <w:hideMark/>
          </w:tcPr>
          <w:p w14:paraId="3D455819" w14:textId="0F72D3CF" w:rsidR="00ED4F74" w:rsidRPr="00ED4F74" w:rsidRDefault="00ED4F74" w:rsidP="00ED4F74">
            <w:r w:rsidRPr="00ED4F74">
              <w:t>0</w:t>
            </w:r>
            <w:r>
              <w:t xml:space="preserve"> (</w:t>
            </w:r>
            <w:r w:rsidR="00966AA1">
              <w:t>0</w:t>
            </w:r>
            <w:r>
              <w:t>%)</w:t>
            </w:r>
          </w:p>
        </w:tc>
        <w:tc>
          <w:tcPr>
            <w:tcW w:w="960" w:type="dxa"/>
            <w:noWrap/>
            <w:hideMark/>
          </w:tcPr>
          <w:p w14:paraId="285188AE" w14:textId="77777777" w:rsidR="00ED4F74" w:rsidRPr="00ED4F74" w:rsidRDefault="00ED4F74" w:rsidP="00ED4F74"/>
        </w:tc>
      </w:tr>
      <w:tr w:rsidR="00ED4F74" w:rsidRPr="00ED4F74" w14:paraId="615132FB" w14:textId="77777777" w:rsidTr="00ED4F74">
        <w:trPr>
          <w:trHeight w:val="300"/>
        </w:trPr>
        <w:tc>
          <w:tcPr>
            <w:tcW w:w="1540" w:type="dxa"/>
            <w:tcBorders>
              <w:bottom w:val="single" w:sz="4" w:space="0" w:color="auto"/>
            </w:tcBorders>
            <w:noWrap/>
            <w:hideMark/>
          </w:tcPr>
          <w:p w14:paraId="0FB01233" w14:textId="77777777" w:rsidR="00ED4F74" w:rsidRPr="00ED4F74" w:rsidRDefault="00ED4F74" w:rsidP="00ED4F74">
            <w:r w:rsidRPr="00ED4F74">
              <w:t>Other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70B6F9E7" w14:textId="0B9D2796" w:rsidR="00ED4F74" w:rsidRPr="00ED4F74" w:rsidRDefault="00ED4F74" w:rsidP="00ED4F74">
            <w:r w:rsidRPr="00ED4F74">
              <w:t>27463</w:t>
            </w:r>
            <w:r>
              <w:t xml:space="preserve"> (43%)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noWrap/>
            <w:hideMark/>
          </w:tcPr>
          <w:p w14:paraId="369E08C8" w14:textId="51C516E3" w:rsidR="00ED4F74" w:rsidRPr="00ED4F74" w:rsidRDefault="00ED4F74" w:rsidP="00ED4F74">
            <w:r w:rsidRPr="00ED4F74">
              <w:t>2</w:t>
            </w:r>
            <w:r>
              <w:t xml:space="preserve"> (8%)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noWrap/>
            <w:hideMark/>
          </w:tcPr>
          <w:p w14:paraId="67C3AFDA" w14:textId="6E43251E" w:rsidR="00ED4F74" w:rsidRPr="00ED4F74" w:rsidRDefault="00ED4F74" w:rsidP="00ED4F74">
            <w:r w:rsidRPr="00ED4F74">
              <w:t>2</w:t>
            </w:r>
            <w:r>
              <w:t xml:space="preserve"> (</w:t>
            </w:r>
            <w:r w:rsidR="00966AA1">
              <w:t>12</w:t>
            </w:r>
            <w:r>
              <w:t>%)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93E3E2C" w14:textId="086C4284" w:rsidR="00ED4F74" w:rsidRPr="00ED4F74" w:rsidRDefault="00ED4F74" w:rsidP="00ED4F74">
            <w:r w:rsidRPr="00ED4F74">
              <w:t>0</w:t>
            </w:r>
            <w:r>
              <w:t xml:space="preserve"> (</w:t>
            </w:r>
            <w:r w:rsidR="00966AA1">
              <w:t>0</w:t>
            </w:r>
            <w:r>
              <w:t>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3E4011D" w14:textId="3C40726F" w:rsidR="00ED4F74" w:rsidRPr="00ED4F74" w:rsidRDefault="00ED4F74" w:rsidP="00ED4F74">
            <w:r w:rsidRPr="00ED4F74">
              <w:t>0</w:t>
            </w:r>
            <w:r>
              <w:t xml:space="preserve"> (</w:t>
            </w:r>
            <w:r w:rsidR="00966AA1">
              <w:t>0</w:t>
            </w:r>
            <w:r>
              <w:t>%)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D0B9B4A" w14:textId="77777777" w:rsidR="00ED4F74" w:rsidRPr="00ED4F74" w:rsidRDefault="00ED4F74" w:rsidP="00ED4F74"/>
        </w:tc>
      </w:tr>
    </w:tbl>
    <w:p w14:paraId="17D4F7B8" w14:textId="61C305A8" w:rsidR="00FE71DD" w:rsidRPr="008A722F" w:rsidRDefault="002679DB" w:rsidP="002A5F26">
      <w:r>
        <w:t xml:space="preserve"> </w:t>
      </w:r>
      <w:r w:rsidR="008A722F" w:rsidRPr="008A722F">
        <w:rPr>
          <w:b/>
        </w:rPr>
        <w:t xml:space="preserve">Table 1. </w:t>
      </w:r>
      <w:r w:rsidR="008A722F">
        <w:t>Rates and severity of allergic-like reactions resulting from intravenous injections of various contrast agents from January 1, 2005 to March 22, 2018.</w:t>
      </w:r>
    </w:p>
    <w:p w14:paraId="461DC710" w14:textId="77777777" w:rsidR="00966AA1" w:rsidRDefault="00966AA1" w:rsidP="002A5F2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800"/>
        <w:gridCol w:w="1805"/>
        <w:gridCol w:w="1530"/>
        <w:gridCol w:w="1350"/>
        <w:gridCol w:w="1340"/>
      </w:tblGrid>
      <w:tr w:rsidR="00966AA1" w:rsidRPr="00966AA1" w14:paraId="1635F25C" w14:textId="77777777" w:rsidTr="00B41CF6">
        <w:trPr>
          <w:trHeight w:val="300"/>
        </w:trPr>
        <w:tc>
          <w:tcPr>
            <w:tcW w:w="1525" w:type="dxa"/>
            <w:tcBorders>
              <w:top w:val="single" w:sz="4" w:space="0" w:color="auto"/>
            </w:tcBorders>
            <w:hideMark/>
          </w:tcPr>
          <w:p w14:paraId="3504091E" w14:textId="77777777" w:rsidR="00966AA1" w:rsidRPr="00966AA1" w:rsidRDefault="00966AA1"/>
        </w:tc>
        <w:tc>
          <w:tcPr>
            <w:tcW w:w="1800" w:type="dxa"/>
            <w:tcBorders>
              <w:top w:val="single" w:sz="4" w:space="0" w:color="auto"/>
            </w:tcBorders>
            <w:hideMark/>
          </w:tcPr>
          <w:p w14:paraId="76DE9BA3" w14:textId="77777777" w:rsidR="00966AA1" w:rsidRPr="00966AA1" w:rsidRDefault="00966AA1"/>
        </w:tc>
        <w:tc>
          <w:tcPr>
            <w:tcW w:w="1805" w:type="dxa"/>
            <w:tcBorders>
              <w:top w:val="single" w:sz="4" w:space="0" w:color="auto"/>
            </w:tcBorders>
            <w:hideMark/>
          </w:tcPr>
          <w:p w14:paraId="5505B0F4" w14:textId="77777777" w:rsidR="00966AA1" w:rsidRPr="00966AA1" w:rsidRDefault="00966AA1"/>
        </w:tc>
        <w:tc>
          <w:tcPr>
            <w:tcW w:w="4220" w:type="dxa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6625A7B" w14:textId="77777777" w:rsidR="00966AA1" w:rsidRPr="00966AA1" w:rsidRDefault="00966AA1" w:rsidP="00966AA1">
            <w:pPr>
              <w:jc w:val="center"/>
              <w:rPr>
                <w:b/>
              </w:rPr>
            </w:pPr>
            <w:r w:rsidRPr="00966AA1">
              <w:rPr>
                <w:b/>
              </w:rPr>
              <w:t>Contrast Agent</w:t>
            </w:r>
          </w:p>
        </w:tc>
      </w:tr>
      <w:tr w:rsidR="00966AA1" w:rsidRPr="00966AA1" w14:paraId="180073C8" w14:textId="77777777" w:rsidTr="00B41CF6">
        <w:trPr>
          <w:trHeight w:val="300"/>
        </w:trPr>
        <w:tc>
          <w:tcPr>
            <w:tcW w:w="1525" w:type="dxa"/>
            <w:tcBorders>
              <w:bottom w:val="single" w:sz="4" w:space="0" w:color="auto"/>
            </w:tcBorders>
            <w:hideMark/>
          </w:tcPr>
          <w:p w14:paraId="2E9F6673" w14:textId="77777777" w:rsidR="00966AA1" w:rsidRPr="00966AA1" w:rsidRDefault="00966AA1">
            <w:pPr>
              <w:rPr>
                <w:b/>
              </w:rPr>
            </w:pPr>
            <w:r w:rsidRPr="00966AA1">
              <w:rPr>
                <w:b/>
              </w:rPr>
              <w:t>Timing of Injections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hideMark/>
          </w:tcPr>
          <w:p w14:paraId="342A1801" w14:textId="77777777" w:rsidR="00966AA1" w:rsidRPr="00966AA1" w:rsidRDefault="00966AA1">
            <w:pPr>
              <w:rPr>
                <w:b/>
              </w:rPr>
            </w:pPr>
            <w:r w:rsidRPr="00966AA1">
              <w:rPr>
                <w:b/>
              </w:rPr>
              <w:t>No. of Injections (N=63282)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hideMark/>
          </w:tcPr>
          <w:p w14:paraId="4DE7AA1E" w14:textId="68A6A0BD" w:rsidR="00966AA1" w:rsidRPr="00966AA1" w:rsidRDefault="00966AA1">
            <w:pPr>
              <w:rPr>
                <w:b/>
              </w:rPr>
            </w:pPr>
            <w:r>
              <w:rPr>
                <w:b/>
              </w:rPr>
              <w:t xml:space="preserve">Allergic-Like </w:t>
            </w:r>
            <w:r w:rsidRPr="00966AA1">
              <w:rPr>
                <w:b/>
              </w:rPr>
              <w:t>Reaction</w:t>
            </w:r>
            <w:r>
              <w:rPr>
                <w:b/>
              </w:rPr>
              <w:t>s (N=25)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B760CE0" w14:textId="4069BCD9" w:rsidR="00966AA1" w:rsidRPr="00966AA1" w:rsidRDefault="00966AA1">
            <w:pPr>
              <w:rPr>
                <w:b/>
              </w:rPr>
            </w:pPr>
            <w:proofErr w:type="spellStart"/>
            <w:r w:rsidRPr="00966AA1">
              <w:rPr>
                <w:b/>
              </w:rPr>
              <w:t>Gadavist</w:t>
            </w:r>
            <w:proofErr w:type="spellEnd"/>
            <w:r>
              <w:rPr>
                <w:b/>
              </w:rPr>
              <w:t xml:space="preserve"> (N=</w:t>
            </w:r>
            <w:r w:rsidR="00B41CF6" w:rsidRPr="00B41CF6">
              <w:rPr>
                <w:b/>
              </w:rPr>
              <w:t>16204</w:t>
            </w:r>
            <w:r>
              <w:rPr>
                <w:b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AD8CE43" w14:textId="7CC806A1" w:rsidR="00966AA1" w:rsidRPr="00966AA1" w:rsidRDefault="00966AA1">
            <w:pPr>
              <w:rPr>
                <w:b/>
              </w:rPr>
            </w:pPr>
            <w:proofErr w:type="spellStart"/>
            <w:r w:rsidRPr="00966AA1">
              <w:rPr>
                <w:b/>
              </w:rPr>
              <w:t>Magnevist</w:t>
            </w:r>
            <w:proofErr w:type="spellEnd"/>
            <w:r>
              <w:rPr>
                <w:b/>
              </w:rPr>
              <w:t xml:space="preserve"> (N=</w:t>
            </w:r>
            <w:r w:rsidR="00B41CF6">
              <w:rPr>
                <w:b/>
              </w:rPr>
              <w:t>19615</w:t>
            </w:r>
            <w:r>
              <w:rPr>
                <w:b/>
              </w:rPr>
              <w:t>)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6D8E7F" w14:textId="14159E03" w:rsidR="00966AA1" w:rsidRPr="00966AA1" w:rsidRDefault="00966AA1">
            <w:pPr>
              <w:rPr>
                <w:b/>
              </w:rPr>
            </w:pPr>
            <w:r w:rsidRPr="00966AA1">
              <w:rPr>
                <w:b/>
              </w:rPr>
              <w:t>Other</w:t>
            </w:r>
            <w:r>
              <w:rPr>
                <w:b/>
              </w:rPr>
              <w:t xml:space="preserve"> (N=</w:t>
            </w:r>
            <w:r w:rsidR="00B41CF6">
              <w:rPr>
                <w:b/>
              </w:rPr>
              <w:t>27463</w:t>
            </w:r>
            <w:r>
              <w:rPr>
                <w:b/>
              </w:rPr>
              <w:t>)</w:t>
            </w:r>
          </w:p>
        </w:tc>
      </w:tr>
      <w:tr w:rsidR="00966AA1" w:rsidRPr="00966AA1" w14:paraId="12925739" w14:textId="77777777" w:rsidTr="00B41CF6">
        <w:trPr>
          <w:trHeight w:val="300"/>
        </w:trPr>
        <w:tc>
          <w:tcPr>
            <w:tcW w:w="1525" w:type="dxa"/>
            <w:tcBorders>
              <w:top w:val="single" w:sz="4" w:space="0" w:color="auto"/>
            </w:tcBorders>
            <w:hideMark/>
          </w:tcPr>
          <w:p w14:paraId="64668ABC" w14:textId="77777777" w:rsidR="00966AA1" w:rsidRPr="00966AA1" w:rsidRDefault="00966AA1">
            <w:r w:rsidRPr="00966AA1">
              <w:t>Before Switch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4CE52849" w14:textId="1EA8F6E5" w:rsidR="00966AA1" w:rsidRPr="00966AA1" w:rsidRDefault="00966AA1" w:rsidP="00966AA1">
            <w:r w:rsidRPr="00966AA1">
              <w:t>45795</w:t>
            </w:r>
            <w:r w:rsidR="00B41CF6">
              <w:t xml:space="preserve"> (72%)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noWrap/>
            <w:hideMark/>
          </w:tcPr>
          <w:p w14:paraId="0E475822" w14:textId="49C85F3F" w:rsidR="00966AA1" w:rsidRPr="00966AA1" w:rsidRDefault="00966AA1">
            <w:r w:rsidRPr="00966AA1">
              <w:t>13</w:t>
            </w:r>
            <w:r>
              <w:t xml:space="preserve"> (</w:t>
            </w:r>
            <w:r w:rsidRPr="00966AA1">
              <w:t>0.028%</w:t>
            </w:r>
            <w:r>
              <w:t>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620CBB22" w14:textId="21F6D914" w:rsidR="00966AA1" w:rsidRPr="00966AA1" w:rsidRDefault="00966AA1" w:rsidP="00966AA1">
            <w:r w:rsidRPr="00966AA1">
              <w:t>0</w:t>
            </w:r>
            <w:r w:rsidR="00B41CF6">
              <w:t xml:space="preserve"> (0%)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1D73FCB1" w14:textId="23B6FBF3" w:rsidR="00966AA1" w:rsidRPr="00966AA1" w:rsidRDefault="00966AA1" w:rsidP="00966AA1">
            <w:r w:rsidRPr="00966AA1">
              <w:t>19393</w:t>
            </w:r>
            <w:r w:rsidR="00B41CF6">
              <w:t xml:space="preserve"> (99%)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noWrap/>
            <w:hideMark/>
          </w:tcPr>
          <w:p w14:paraId="05B1D704" w14:textId="2840280E" w:rsidR="00966AA1" w:rsidRPr="00966AA1" w:rsidRDefault="00966AA1" w:rsidP="00966AA1">
            <w:r w:rsidRPr="00966AA1">
              <w:t>26402</w:t>
            </w:r>
            <w:r w:rsidR="00B41CF6">
              <w:t xml:space="preserve"> (96%)</w:t>
            </w:r>
          </w:p>
        </w:tc>
      </w:tr>
      <w:tr w:rsidR="00966AA1" w:rsidRPr="00966AA1" w14:paraId="405D8414" w14:textId="77777777" w:rsidTr="00B41CF6">
        <w:trPr>
          <w:trHeight w:val="300"/>
        </w:trPr>
        <w:tc>
          <w:tcPr>
            <w:tcW w:w="1525" w:type="dxa"/>
            <w:tcBorders>
              <w:bottom w:val="single" w:sz="4" w:space="0" w:color="auto"/>
            </w:tcBorders>
            <w:hideMark/>
          </w:tcPr>
          <w:p w14:paraId="1328E3FA" w14:textId="77777777" w:rsidR="00966AA1" w:rsidRPr="00966AA1" w:rsidRDefault="00966AA1">
            <w:r w:rsidRPr="00966AA1">
              <w:t>After Switch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hideMark/>
          </w:tcPr>
          <w:p w14:paraId="22BE9F20" w14:textId="506A882C" w:rsidR="00966AA1" w:rsidRPr="00966AA1" w:rsidRDefault="00966AA1" w:rsidP="00966AA1">
            <w:r w:rsidRPr="00966AA1">
              <w:t>17487</w:t>
            </w:r>
            <w:r w:rsidR="00B41CF6">
              <w:t xml:space="preserve"> (28%)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noWrap/>
            <w:hideMark/>
          </w:tcPr>
          <w:p w14:paraId="05EB5609" w14:textId="73F87E85" w:rsidR="00966AA1" w:rsidRPr="00966AA1" w:rsidRDefault="00966AA1">
            <w:r w:rsidRPr="00966AA1">
              <w:t>12</w:t>
            </w:r>
            <w:r>
              <w:t xml:space="preserve"> (</w:t>
            </w:r>
            <w:r w:rsidRPr="00966AA1">
              <w:t>0.069%</w:t>
            </w:r>
            <w: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14:paraId="30504EB8" w14:textId="261A32B2" w:rsidR="00966AA1" w:rsidRPr="00966AA1" w:rsidRDefault="00966AA1" w:rsidP="00966AA1">
            <w:r w:rsidRPr="00966AA1">
              <w:t>16204</w:t>
            </w:r>
            <w:r w:rsidR="00B41CF6">
              <w:t xml:space="preserve"> (100%)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13E8AC35" w14:textId="3DEC7152" w:rsidR="00966AA1" w:rsidRPr="00966AA1" w:rsidRDefault="00966AA1" w:rsidP="00966AA1">
            <w:r w:rsidRPr="00966AA1">
              <w:t>222</w:t>
            </w:r>
            <w:r w:rsidR="00B41CF6">
              <w:t xml:space="preserve"> (1%)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noWrap/>
            <w:hideMark/>
          </w:tcPr>
          <w:p w14:paraId="60232C0B" w14:textId="404D6652" w:rsidR="00966AA1" w:rsidRPr="00966AA1" w:rsidRDefault="00966AA1" w:rsidP="00966AA1">
            <w:r w:rsidRPr="00966AA1">
              <w:t>1061</w:t>
            </w:r>
            <w:r w:rsidR="00B41CF6">
              <w:t xml:space="preserve"> (4%)</w:t>
            </w:r>
          </w:p>
        </w:tc>
      </w:tr>
    </w:tbl>
    <w:p w14:paraId="2EA2E892" w14:textId="09919AE0" w:rsidR="00FE71DD" w:rsidRPr="008A722F" w:rsidRDefault="008A722F">
      <w:r w:rsidRPr="008A722F">
        <w:rPr>
          <w:b/>
        </w:rPr>
        <w:t>Table 2.</w:t>
      </w:r>
      <w:r>
        <w:rPr>
          <w:b/>
        </w:rPr>
        <w:t xml:space="preserve"> </w:t>
      </w:r>
      <w:r>
        <w:t xml:space="preserve">Rates of allergic-like reactions before and after the switching of contrast agents to primarily </w:t>
      </w:r>
      <w:proofErr w:type="spellStart"/>
      <w:r>
        <w:t>Gadavist</w:t>
      </w:r>
      <w:proofErr w:type="spellEnd"/>
      <w:r>
        <w:t xml:space="preserve"> injections. The switch occurred on March 22, 2015.</w:t>
      </w:r>
    </w:p>
    <w:p w14:paraId="4CF9A3D5" w14:textId="200EFDF2" w:rsidR="00F47877" w:rsidRDefault="00F47877"/>
    <w:p w14:paraId="7A30DF0A" w14:textId="0201FA2A" w:rsidR="00F47877" w:rsidRDefault="00F47877" w:rsidP="00F47877">
      <w:pPr>
        <w:jc w:val="center"/>
      </w:pPr>
      <w:r>
        <w:rPr>
          <w:noProof/>
        </w:rPr>
        <w:lastRenderedPageBreak/>
        <w:drawing>
          <wp:inline distT="0" distB="0" distL="0" distR="0" wp14:anchorId="4B9B7E33" wp14:editId="5CE42F54">
            <wp:extent cx="5943600" cy="60744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F0D" w14:textId="6C193446" w:rsidR="00F47877" w:rsidRPr="00AA6EE8" w:rsidRDefault="008A722F" w:rsidP="008A722F">
      <w:r w:rsidRPr="008A722F">
        <w:rPr>
          <w:b/>
        </w:rPr>
        <w:t>Figure 1.</w:t>
      </w:r>
      <w:r>
        <w:rPr>
          <w:b/>
        </w:rPr>
        <w:t xml:space="preserve"> </w:t>
      </w:r>
      <w:r w:rsidR="00472BB6">
        <w:t>A graph illustrating t</w:t>
      </w:r>
      <w:r w:rsidR="00AA6EE8">
        <w:t>he total number of intravenous administrations of contrast agents at specific bi-yearly intervals from January 2005 to March 2018. Each quarter represents a 6-month interval.</w:t>
      </w:r>
    </w:p>
    <w:p w14:paraId="265BC362" w14:textId="376AD261" w:rsidR="00F47877" w:rsidRDefault="00F47877" w:rsidP="00F47877"/>
    <w:p w14:paraId="18159780" w14:textId="0F61CF30" w:rsidR="007A5E73" w:rsidRDefault="007A5E73" w:rsidP="00F47877"/>
    <w:p w14:paraId="36561511" w14:textId="1F730299" w:rsidR="007A5E73" w:rsidRDefault="007A5E73" w:rsidP="00F47877"/>
    <w:p w14:paraId="1A375DC2" w14:textId="59149B77" w:rsidR="007A5E73" w:rsidRDefault="007A5E73" w:rsidP="00F47877"/>
    <w:p w14:paraId="0D26F83B" w14:textId="2B0DAE86" w:rsidR="007A5E73" w:rsidRDefault="007A5E73" w:rsidP="00F47877"/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980"/>
        <w:gridCol w:w="1800"/>
        <w:gridCol w:w="1710"/>
        <w:gridCol w:w="1890"/>
      </w:tblGrid>
      <w:tr w:rsidR="007A5E73" w:rsidRPr="007A5E73" w14:paraId="7B3B189A" w14:textId="77777777" w:rsidTr="007A5E73">
        <w:trPr>
          <w:trHeight w:val="300"/>
        </w:trPr>
        <w:tc>
          <w:tcPr>
            <w:tcW w:w="2160" w:type="dxa"/>
            <w:tcBorders>
              <w:top w:val="single" w:sz="4" w:space="0" w:color="auto"/>
            </w:tcBorders>
            <w:noWrap/>
            <w:hideMark/>
          </w:tcPr>
          <w:p w14:paraId="496D6D7C" w14:textId="77777777" w:rsidR="007A5E73" w:rsidRPr="007A5E73" w:rsidRDefault="007A5E73">
            <w:pPr>
              <w:rPr>
                <w:b/>
              </w:rPr>
            </w:pPr>
          </w:p>
        </w:tc>
        <w:tc>
          <w:tcPr>
            <w:tcW w:w="549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60E057E" w14:textId="77777777" w:rsidR="007A5E73" w:rsidRPr="007A5E73" w:rsidRDefault="007A5E73" w:rsidP="007A5E73">
            <w:pPr>
              <w:jc w:val="center"/>
              <w:rPr>
                <w:b/>
              </w:rPr>
            </w:pPr>
            <w:r w:rsidRPr="007A5E73">
              <w:rPr>
                <w:b/>
              </w:rPr>
              <w:t>Contrast Agent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62F56546" w14:textId="77777777" w:rsidR="007A5E73" w:rsidRPr="007A5E73" w:rsidRDefault="007A5E73" w:rsidP="007A5E73">
            <w:pPr>
              <w:rPr>
                <w:b/>
              </w:rPr>
            </w:pPr>
          </w:p>
        </w:tc>
      </w:tr>
      <w:tr w:rsidR="007A5E73" w:rsidRPr="007A5E73" w14:paraId="42D388A8" w14:textId="77777777" w:rsidTr="007A5E73">
        <w:trPr>
          <w:trHeight w:val="300"/>
        </w:trPr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252BB48C" w14:textId="77777777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Sex and Age Group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BA2838" w14:textId="1E9ECC1E" w:rsidR="007A5E73" w:rsidRPr="007A5E73" w:rsidRDefault="007A5E73">
            <w:pPr>
              <w:rPr>
                <w:b/>
              </w:rPr>
            </w:pPr>
            <w:proofErr w:type="spellStart"/>
            <w:r w:rsidRPr="007A5E73">
              <w:rPr>
                <w:b/>
              </w:rPr>
              <w:t>Gadavist</w:t>
            </w:r>
            <w:proofErr w:type="spellEnd"/>
            <w:r>
              <w:rPr>
                <w:b/>
              </w:rPr>
              <w:t xml:space="preserve"> (N=</w:t>
            </w:r>
            <w:r w:rsidRPr="007A5E73">
              <w:rPr>
                <w:b/>
              </w:rPr>
              <w:t>16204</w:t>
            </w:r>
            <w:r>
              <w:rPr>
                <w:b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A59927" w14:textId="2F3F57E4" w:rsidR="007A5E73" w:rsidRPr="007A5E73" w:rsidRDefault="007A5E73">
            <w:pPr>
              <w:rPr>
                <w:b/>
              </w:rPr>
            </w:pPr>
            <w:proofErr w:type="spellStart"/>
            <w:r w:rsidRPr="007A5E73">
              <w:rPr>
                <w:b/>
              </w:rPr>
              <w:t>Magnevist</w:t>
            </w:r>
            <w:proofErr w:type="spellEnd"/>
            <w:r>
              <w:rPr>
                <w:b/>
              </w:rPr>
              <w:t xml:space="preserve"> (N=</w:t>
            </w:r>
            <w:r w:rsidRPr="007A5E73">
              <w:rPr>
                <w:b/>
              </w:rPr>
              <w:t>19615</w:t>
            </w:r>
            <w:r>
              <w:rPr>
                <w:b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F13879" w14:textId="016D3E1B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Other</w:t>
            </w:r>
            <w:r>
              <w:rPr>
                <w:b/>
              </w:rPr>
              <w:t xml:space="preserve"> (N=</w:t>
            </w:r>
            <w:r w:rsidRPr="007A5E73">
              <w:rPr>
                <w:b/>
              </w:rPr>
              <w:t>27463</w:t>
            </w:r>
            <w:r>
              <w:rPr>
                <w:b/>
              </w:rPr>
              <w:t>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1810427E" w14:textId="3CA8F773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All Agents</w:t>
            </w:r>
            <w:r>
              <w:rPr>
                <w:b/>
              </w:rPr>
              <w:t xml:space="preserve">  (N=</w:t>
            </w:r>
            <w:r w:rsidRPr="007A5E73">
              <w:rPr>
                <w:b/>
              </w:rPr>
              <w:t>63282</w:t>
            </w:r>
            <w:r>
              <w:rPr>
                <w:b/>
              </w:rPr>
              <w:t>)</w:t>
            </w:r>
          </w:p>
        </w:tc>
      </w:tr>
      <w:tr w:rsidR="007A5E73" w:rsidRPr="007A5E73" w14:paraId="52C3937D" w14:textId="77777777" w:rsidTr="007A5E73">
        <w:trPr>
          <w:trHeight w:val="300"/>
        </w:trPr>
        <w:tc>
          <w:tcPr>
            <w:tcW w:w="4140" w:type="dxa"/>
            <w:gridSpan w:val="2"/>
            <w:tcBorders>
              <w:top w:val="single" w:sz="4" w:space="0" w:color="auto"/>
            </w:tcBorders>
            <w:noWrap/>
            <w:hideMark/>
          </w:tcPr>
          <w:p w14:paraId="482E674D" w14:textId="77777777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Female Patients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373DDFBF" w14:textId="77777777" w:rsidR="007A5E73" w:rsidRPr="007A5E73" w:rsidRDefault="007A5E73"/>
        </w:tc>
        <w:tc>
          <w:tcPr>
            <w:tcW w:w="1710" w:type="dxa"/>
            <w:tcBorders>
              <w:top w:val="single" w:sz="4" w:space="0" w:color="auto"/>
            </w:tcBorders>
            <w:noWrap/>
            <w:hideMark/>
          </w:tcPr>
          <w:p w14:paraId="5BBD7601" w14:textId="77777777" w:rsidR="007A5E73" w:rsidRPr="007A5E73" w:rsidRDefault="007A5E73"/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0E64F97B" w14:textId="77777777" w:rsidR="007A5E73" w:rsidRPr="007A5E73" w:rsidRDefault="007A5E73"/>
        </w:tc>
      </w:tr>
      <w:tr w:rsidR="007A5E73" w:rsidRPr="007A5E73" w14:paraId="511253C1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33FDF7E8" w14:textId="77777777" w:rsidR="007A5E73" w:rsidRPr="007A5E73" w:rsidRDefault="007A5E73" w:rsidP="007A5E73">
            <w:pPr>
              <w:ind w:left="343"/>
            </w:pPr>
            <w:r w:rsidRPr="007A5E73">
              <w:t>&lt; 9 months</w:t>
            </w:r>
          </w:p>
        </w:tc>
        <w:tc>
          <w:tcPr>
            <w:tcW w:w="1980" w:type="dxa"/>
            <w:noWrap/>
            <w:hideMark/>
          </w:tcPr>
          <w:p w14:paraId="311C3C6D" w14:textId="77777777" w:rsidR="007A5E73" w:rsidRPr="007A5E73" w:rsidRDefault="007A5E73">
            <w:r w:rsidRPr="007A5E73">
              <w:t>0 (0/2447)</w:t>
            </w:r>
          </w:p>
        </w:tc>
        <w:tc>
          <w:tcPr>
            <w:tcW w:w="1800" w:type="dxa"/>
            <w:noWrap/>
            <w:hideMark/>
          </w:tcPr>
          <w:p w14:paraId="2346DD78" w14:textId="77777777" w:rsidR="007A5E73" w:rsidRPr="007A5E73" w:rsidRDefault="007A5E73">
            <w:r w:rsidRPr="007A5E73">
              <w:t>0.036 (1/2796)</w:t>
            </w:r>
          </w:p>
        </w:tc>
        <w:tc>
          <w:tcPr>
            <w:tcW w:w="1710" w:type="dxa"/>
            <w:noWrap/>
            <w:hideMark/>
          </w:tcPr>
          <w:p w14:paraId="70AAFD16" w14:textId="77777777" w:rsidR="007A5E73" w:rsidRPr="007A5E73" w:rsidRDefault="007A5E73">
            <w:r w:rsidRPr="007A5E73">
              <w:t>0 (0/4500)</w:t>
            </w:r>
          </w:p>
        </w:tc>
        <w:tc>
          <w:tcPr>
            <w:tcW w:w="1890" w:type="dxa"/>
            <w:noWrap/>
            <w:hideMark/>
          </w:tcPr>
          <w:p w14:paraId="6ABC338B" w14:textId="77777777" w:rsidR="007A5E73" w:rsidRPr="007A5E73" w:rsidRDefault="007A5E73">
            <w:r w:rsidRPr="007A5E73">
              <w:t>0.010 (1/9743)</w:t>
            </w:r>
          </w:p>
        </w:tc>
      </w:tr>
      <w:tr w:rsidR="007A5E73" w:rsidRPr="007A5E73" w14:paraId="5286DC5A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47240168" w14:textId="77777777" w:rsidR="007A5E73" w:rsidRPr="007A5E73" w:rsidRDefault="007A5E73" w:rsidP="007A5E73">
            <w:pPr>
              <w:ind w:left="343"/>
            </w:pPr>
            <w:r w:rsidRPr="007A5E73">
              <w:t>9 - 18 months</w:t>
            </w:r>
          </w:p>
        </w:tc>
        <w:tc>
          <w:tcPr>
            <w:tcW w:w="1980" w:type="dxa"/>
            <w:noWrap/>
            <w:hideMark/>
          </w:tcPr>
          <w:p w14:paraId="4B56DB02" w14:textId="77777777" w:rsidR="007A5E73" w:rsidRPr="007A5E73" w:rsidRDefault="007A5E73">
            <w:r w:rsidRPr="007A5E73">
              <w:t>0.090 (4/4432)</w:t>
            </w:r>
          </w:p>
        </w:tc>
        <w:tc>
          <w:tcPr>
            <w:tcW w:w="1800" w:type="dxa"/>
            <w:noWrap/>
            <w:hideMark/>
          </w:tcPr>
          <w:p w14:paraId="5E1CA89A" w14:textId="77777777" w:rsidR="007A5E73" w:rsidRPr="007A5E73" w:rsidRDefault="007A5E73">
            <w:r w:rsidRPr="007A5E73">
              <w:t>0.091 (5/5461)</w:t>
            </w:r>
          </w:p>
        </w:tc>
        <w:tc>
          <w:tcPr>
            <w:tcW w:w="1710" w:type="dxa"/>
            <w:noWrap/>
            <w:hideMark/>
          </w:tcPr>
          <w:p w14:paraId="0C7D03B9" w14:textId="77777777" w:rsidR="007A5E73" w:rsidRPr="007A5E73" w:rsidRDefault="007A5E73">
            <w:r w:rsidRPr="007A5E73">
              <w:t>0 (0/7373)</w:t>
            </w:r>
          </w:p>
        </w:tc>
        <w:tc>
          <w:tcPr>
            <w:tcW w:w="1890" w:type="dxa"/>
            <w:noWrap/>
            <w:hideMark/>
          </w:tcPr>
          <w:p w14:paraId="330499A3" w14:textId="77777777" w:rsidR="007A5E73" w:rsidRPr="007A5E73" w:rsidRDefault="007A5E73">
            <w:r w:rsidRPr="007A5E73">
              <w:t>0.052 (9/17266)</w:t>
            </w:r>
          </w:p>
        </w:tc>
      </w:tr>
      <w:tr w:rsidR="007A5E73" w:rsidRPr="007A5E73" w14:paraId="3562E63B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1AC0563E" w14:textId="77777777" w:rsidR="007A5E73" w:rsidRPr="007A5E73" w:rsidRDefault="007A5E73" w:rsidP="007A5E73">
            <w:pPr>
              <w:ind w:left="343"/>
            </w:pPr>
            <w:r w:rsidRPr="007A5E73">
              <w:t>&gt; 18 months</w:t>
            </w:r>
          </w:p>
        </w:tc>
        <w:tc>
          <w:tcPr>
            <w:tcW w:w="1980" w:type="dxa"/>
            <w:noWrap/>
            <w:hideMark/>
          </w:tcPr>
          <w:p w14:paraId="5FB9516D" w14:textId="77777777" w:rsidR="007A5E73" w:rsidRPr="007A5E73" w:rsidRDefault="007A5E73">
            <w:r w:rsidRPr="007A5E73">
              <w:t>0.248 (3/1211)</w:t>
            </w:r>
          </w:p>
        </w:tc>
        <w:tc>
          <w:tcPr>
            <w:tcW w:w="1800" w:type="dxa"/>
            <w:noWrap/>
            <w:hideMark/>
          </w:tcPr>
          <w:p w14:paraId="6375B8AF" w14:textId="77777777" w:rsidR="007A5E73" w:rsidRPr="007A5E73" w:rsidRDefault="007A5E73">
            <w:r w:rsidRPr="007A5E73">
              <w:t>0.174 (3/1726)</w:t>
            </w:r>
          </w:p>
        </w:tc>
        <w:tc>
          <w:tcPr>
            <w:tcW w:w="1710" w:type="dxa"/>
            <w:noWrap/>
            <w:hideMark/>
          </w:tcPr>
          <w:p w14:paraId="363AF59B" w14:textId="77777777" w:rsidR="007A5E73" w:rsidRPr="007A5E73" w:rsidRDefault="007A5E73">
            <w:r w:rsidRPr="007A5E73">
              <w:t>0 (0/2190)</w:t>
            </w:r>
          </w:p>
        </w:tc>
        <w:tc>
          <w:tcPr>
            <w:tcW w:w="1890" w:type="dxa"/>
            <w:noWrap/>
            <w:hideMark/>
          </w:tcPr>
          <w:p w14:paraId="0EED0198" w14:textId="77777777" w:rsidR="007A5E73" w:rsidRPr="007A5E73" w:rsidRDefault="007A5E73">
            <w:r w:rsidRPr="007A5E73">
              <w:t>0.117 (6/5127)</w:t>
            </w:r>
          </w:p>
        </w:tc>
      </w:tr>
      <w:tr w:rsidR="007A5E73" w:rsidRPr="007A5E73" w14:paraId="5EEE5697" w14:textId="77777777" w:rsidTr="007A5E73">
        <w:trPr>
          <w:trHeight w:val="300"/>
        </w:trPr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2E274040" w14:textId="77777777" w:rsidR="007A5E73" w:rsidRPr="007A5E73" w:rsidRDefault="007A5E73" w:rsidP="007A5E73">
            <w:pPr>
              <w:ind w:left="343"/>
            </w:pPr>
            <w:r w:rsidRPr="007A5E73">
              <w:t>All Ages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noWrap/>
            <w:hideMark/>
          </w:tcPr>
          <w:p w14:paraId="32D8906C" w14:textId="77777777" w:rsidR="007A5E73" w:rsidRPr="007A5E73" w:rsidRDefault="007A5E73">
            <w:r w:rsidRPr="007A5E73">
              <w:t>0.087 (7/8090)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hideMark/>
          </w:tcPr>
          <w:p w14:paraId="3929496A" w14:textId="77777777" w:rsidR="007A5E73" w:rsidRPr="007A5E73" w:rsidRDefault="007A5E73">
            <w:r w:rsidRPr="007A5E73">
              <w:t>0.090 (9/9983)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14:paraId="7FF23A9A" w14:textId="77777777" w:rsidR="007A5E73" w:rsidRPr="007A5E73" w:rsidRDefault="007A5E73">
            <w:r w:rsidRPr="007A5E73">
              <w:t>0 (0/14063)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0ABF10A6" w14:textId="77777777" w:rsidR="007A5E73" w:rsidRPr="007A5E73" w:rsidRDefault="007A5E73">
            <w:r w:rsidRPr="007A5E73">
              <w:t>0.050 (16/32136)</w:t>
            </w:r>
          </w:p>
        </w:tc>
      </w:tr>
      <w:tr w:rsidR="007A5E73" w:rsidRPr="007A5E73" w14:paraId="133D9F85" w14:textId="77777777" w:rsidTr="007A5E73">
        <w:trPr>
          <w:trHeight w:val="300"/>
        </w:trPr>
        <w:tc>
          <w:tcPr>
            <w:tcW w:w="4140" w:type="dxa"/>
            <w:gridSpan w:val="2"/>
            <w:tcBorders>
              <w:top w:val="single" w:sz="4" w:space="0" w:color="auto"/>
            </w:tcBorders>
            <w:noWrap/>
            <w:hideMark/>
          </w:tcPr>
          <w:p w14:paraId="787CD816" w14:textId="77777777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Male Patients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687AC025" w14:textId="77777777" w:rsidR="007A5E73" w:rsidRPr="007A5E73" w:rsidRDefault="007A5E73"/>
        </w:tc>
        <w:tc>
          <w:tcPr>
            <w:tcW w:w="1710" w:type="dxa"/>
            <w:tcBorders>
              <w:top w:val="single" w:sz="4" w:space="0" w:color="auto"/>
            </w:tcBorders>
            <w:noWrap/>
            <w:hideMark/>
          </w:tcPr>
          <w:p w14:paraId="482A4AE5" w14:textId="77777777" w:rsidR="007A5E73" w:rsidRPr="007A5E73" w:rsidRDefault="007A5E73"/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19880BE9" w14:textId="77777777" w:rsidR="007A5E73" w:rsidRPr="007A5E73" w:rsidRDefault="007A5E73"/>
        </w:tc>
      </w:tr>
      <w:tr w:rsidR="007A5E73" w:rsidRPr="007A5E73" w14:paraId="54339537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3E1D7BCC" w14:textId="77777777" w:rsidR="007A5E73" w:rsidRPr="007A5E73" w:rsidRDefault="007A5E73" w:rsidP="007A5E73">
            <w:pPr>
              <w:ind w:left="343"/>
            </w:pPr>
            <w:r w:rsidRPr="007A5E73">
              <w:t>&lt; 9 months</w:t>
            </w:r>
          </w:p>
        </w:tc>
        <w:tc>
          <w:tcPr>
            <w:tcW w:w="1980" w:type="dxa"/>
            <w:noWrap/>
            <w:hideMark/>
          </w:tcPr>
          <w:p w14:paraId="0C2309B8" w14:textId="77777777" w:rsidR="007A5E73" w:rsidRPr="007A5E73" w:rsidRDefault="007A5E73">
            <w:r w:rsidRPr="007A5E73">
              <w:t>0.036 (1/2773)</w:t>
            </w:r>
          </w:p>
        </w:tc>
        <w:tc>
          <w:tcPr>
            <w:tcW w:w="1800" w:type="dxa"/>
            <w:noWrap/>
            <w:hideMark/>
          </w:tcPr>
          <w:p w14:paraId="37388BB2" w14:textId="77777777" w:rsidR="007A5E73" w:rsidRPr="007A5E73" w:rsidRDefault="007A5E73">
            <w:r w:rsidRPr="007A5E73">
              <w:t>0 (0/3251)</w:t>
            </w:r>
          </w:p>
        </w:tc>
        <w:tc>
          <w:tcPr>
            <w:tcW w:w="1710" w:type="dxa"/>
            <w:noWrap/>
            <w:hideMark/>
          </w:tcPr>
          <w:p w14:paraId="0F53F9D1" w14:textId="77777777" w:rsidR="007A5E73" w:rsidRPr="007A5E73" w:rsidRDefault="007A5E73">
            <w:r w:rsidRPr="007A5E73">
              <w:t>0 (0/4628)</w:t>
            </w:r>
          </w:p>
        </w:tc>
        <w:tc>
          <w:tcPr>
            <w:tcW w:w="1890" w:type="dxa"/>
            <w:noWrap/>
            <w:hideMark/>
          </w:tcPr>
          <w:p w14:paraId="23A38BB6" w14:textId="77777777" w:rsidR="007A5E73" w:rsidRPr="007A5E73" w:rsidRDefault="007A5E73">
            <w:r w:rsidRPr="007A5E73">
              <w:t>0.009 (1/10652)</w:t>
            </w:r>
          </w:p>
        </w:tc>
      </w:tr>
      <w:tr w:rsidR="007A5E73" w:rsidRPr="007A5E73" w14:paraId="0350DDE1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59F03F7D" w14:textId="77777777" w:rsidR="007A5E73" w:rsidRPr="007A5E73" w:rsidRDefault="007A5E73" w:rsidP="007A5E73">
            <w:pPr>
              <w:ind w:left="343"/>
            </w:pPr>
            <w:r w:rsidRPr="007A5E73">
              <w:t>9 - 18 month</w:t>
            </w:r>
          </w:p>
        </w:tc>
        <w:tc>
          <w:tcPr>
            <w:tcW w:w="1980" w:type="dxa"/>
            <w:noWrap/>
            <w:hideMark/>
          </w:tcPr>
          <w:p w14:paraId="70C07673" w14:textId="77777777" w:rsidR="007A5E73" w:rsidRPr="007A5E73" w:rsidRDefault="007A5E73">
            <w:r w:rsidRPr="007A5E73">
              <w:t>0.048 (2/4181)</w:t>
            </w:r>
          </w:p>
        </w:tc>
        <w:tc>
          <w:tcPr>
            <w:tcW w:w="1800" w:type="dxa"/>
            <w:noWrap/>
            <w:hideMark/>
          </w:tcPr>
          <w:p w14:paraId="228D0407" w14:textId="77777777" w:rsidR="007A5E73" w:rsidRPr="007A5E73" w:rsidRDefault="007A5E73">
            <w:r w:rsidRPr="007A5E73">
              <w:t>0.020 (1/4939)</w:t>
            </w:r>
          </w:p>
        </w:tc>
        <w:tc>
          <w:tcPr>
            <w:tcW w:w="1710" w:type="dxa"/>
            <w:noWrap/>
            <w:hideMark/>
          </w:tcPr>
          <w:p w14:paraId="16E049E7" w14:textId="77777777" w:rsidR="007A5E73" w:rsidRPr="007A5E73" w:rsidRDefault="007A5E73">
            <w:r w:rsidRPr="007A5E73">
              <w:t>0.028 (2/7052)</w:t>
            </w:r>
          </w:p>
        </w:tc>
        <w:tc>
          <w:tcPr>
            <w:tcW w:w="1890" w:type="dxa"/>
            <w:noWrap/>
            <w:hideMark/>
          </w:tcPr>
          <w:p w14:paraId="357FCFBA" w14:textId="77777777" w:rsidR="007A5E73" w:rsidRPr="007A5E73" w:rsidRDefault="007A5E73">
            <w:r w:rsidRPr="007A5E73">
              <w:t>0.031 (5/16172)</w:t>
            </w:r>
          </w:p>
        </w:tc>
      </w:tr>
      <w:tr w:rsidR="007A5E73" w:rsidRPr="007A5E73" w14:paraId="6C26FEDB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505CA2E8" w14:textId="77777777" w:rsidR="007A5E73" w:rsidRPr="007A5E73" w:rsidRDefault="007A5E73" w:rsidP="007A5E73">
            <w:pPr>
              <w:ind w:left="343"/>
            </w:pPr>
            <w:r w:rsidRPr="007A5E73">
              <w:t xml:space="preserve">&gt; 18 months </w:t>
            </w:r>
          </w:p>
        </w:tc>
        <w:tc>
          <w:tcPr>
            <w:tcW w:w="1980" w:type="dxa"/>
            <w:noWrap/>
            <w:hideMark/>
          </w:tcPr>
          <w:p w14:paraId="0CE27188" w14:textId="77777777" w:rsidR="007A5E73" w:rsidRPr="007A5E73" w:rsidRDefault="007A5E73">
            <w:r w:rsidRPr="007A5E73">
              <w:t>0.086 (1/1160)</w:t>
            </w:r>
          </w:p>
        </w:tc>
        <w:tc>
          <w:tcPr>
            <w:tcW w:w="1800" w:type="dxa"/>
            <w:noWrap/>
            <w:hideMark/>
          </w:tcPr>
          <w:p w14:paraId="662A3151" w14:textId="77777777" w:rsidR="007A5E73" w:rsidRPr="007A5E73" w:rsidRDefault="007A5E73">
            <w:r w:rsidRPr="007A5E73">
              <w:t>0.138 (2/1442)</w:t>
            </w:r>
          </w:p>
        </w:tc>
        <w:tc>
          <w:tcPr>
            <w:tcW w:w="1710" w:type="dxa"/>
            <w:noWrap/>
            <w:hideMark/>
          </w:tcPr>
          <w:p w14:paraId="7BB2D221" w14:textId="77777777" w:rsidR="007A5E73" w:rsidRPr="007A5E73" w:rsidRDefault="007A5E73">
            <w:r w:rsidRPr="007A5E73">
              <w:t>0 (0/1720)</w:t>
            </w:r>
          </w:p>
        </w:tc>
        <w:tc>
          <w:tcPr>
            <w:tcW w:w="1890" w:type="dxa"/>
            <w:noWrap/>
            <w:hideMark/>
          </w:tcPr>
          <w:p w14:paraId="163436CC" w14:textId="77777777" w:rsidR="007A5E73" w:rsidRPr="007A5E73" w:rsidRDefault="007A5E73">
            <w:r w:rsidRPr="007A5E73">
              <w:t>0.069 (3/4322)</w:t>
            </w:r>
          </w:p>
        </w:tc>
      </w:tr>
      <w:tr w:rsidR="007A5E73" w:rsidRPr="007A5E73" w14:paraId="04C6DCA4" w14:textId="77777777" w:rsidTr="007A5E73">
        <w:trPr>
          <w:trHeight w:val="300"/>
        </w:trPr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2F0C1417" w14:textId="77777777" w:rsidR="007A5E73" w:rsidRPr="007A5E73" w:rsidRDefault="007A5E73" w:rsidP="007A5E73">
            <w:pPr>
              <w:ind w:left="343"/>
            </w:pPr>
            <w:r w:rsidRPr="007A5E73">
              <w:t xml:space="preserve">All Ages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noWrap/>
            <w:hideMark/>
          </w:tcPr>
          <w:p w14:paraId="7D6B8BFF" w14:textId="77777777" w:rsidR="007A5E73" w:rsidRPr="007A5E73" w:rsidRDefault="007A5E73">
            <w:r w:rsidRPr="007A5E73">
              <w:t>0.049 (4/8114)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hideMark/>
          </w:tcPr>
          <w:p w14:paraId="21E6A715" w14:textId="77777777" w:rsidR="007A5E73" w:rsidRPr="007A5E73" w:rsidRDefault="007A5E73">
            <w:r w:rsidRPr="007A5E73">
              <w:t>0.031 (3/9632)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14:paraId="28A48468" w14:textId="77777777" w:rsidR="007A5E73" w:rsidRPr="007A5E73" w:rsidRDefault="007A5E73">
            <w:r w:rsidRPr="007A5E73">
              <w:t>0.015 (2/13400)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4A7850F6" w14:textId="77777777" w:rsidR="007A5E73" w:rsidRPr="007A5E73" w:rsidRDefault="007A5E73">
            <w:r w:rsidRPr="007A5E73">
              <w:t>0.029 (9/31146)</w:t>
            </w:r>
          </w:p>
        </w:tc>
      </w:tr>
      <w:tr w:rsidR="007A5E73" w:rsidRPr="007A5E73" w14:paraId="00F20C51" w14:textId="77777777" w:rsidTr="007A5E73">
        <w:trPr>
          <w:trHeight w:val="300"/>
        </w:trPr>
        <w:tc>
          <w:tcPr>
            <w:tcW w:w="4140" w:type="dxa"/>
            <w:gridSpan w:val="2"/>
            <w:tcBorders>
              <w:top w:val="single" w:sz="4" w:space="0" w:color="auto"/>
            </w:tcBorders>
            <w:noWrap/>
            <w:hideMark/>
          </w:tcPr>
          <w:p w14:paraId="5C0B28F0" w14:textId="77777777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Both Sexes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332E6338" w14:textId="77777777" w:rsidR="007A5E73" w:rsidRPr="007A5E73" w:rsidRDefault="007A5E73"/>
        </w:tc>
        <w:tc>
          <w:tcPr>
            <w:tcW w:w="1710" w:type="dxa"/>
            <w:tcBorders>
              <w:top w:val="single" w:sz="4" w:space="0" w:color="auto"/>
            </w:tcBorders>
            <w:noWrap/>
            <w:hideMark/>
          </w:tcPr>
          <w:p w14:paraId="15A121A1" w14:textId="77777777" w:rsidR="007A5E73" w:rsidRPr="007A5E73" w:rsidRDefault="007A5E73"/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6193DF80" w14:textId="77777777" w:rsidR="007A5E73" w:rsidRPr="007A5E73" w:rsidRDefault="007A5E73"/>
        </w:tc>
      </w:tr>
      <w:tr w:rsidR="007A5E73" w:rsidRPr="007A5E73" w14:paraId="5D8984C5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60CF3898" w14:textId="77777777" w:rsidR="007A5E73" w:rsidRPr="007A5E73" w:rsidRDefault="007A5E73" w:rsidP="007A5E73">
            <w:pPr>
              <w:ind w:left="343"/>
            </w:pPr>
            <w:r w:rsidRPr="007A5E73">
              <w:t>&lt; 9 months</w:t>
            </w:r>
          </w:p>
        </w:tc>
        <w:tc>
          <w:tcPr>
            <w:tcW w:w="1980" w:type="dxa"/>
            <w:noWrap/>
            <w:hideMark/>
          </w:tcPr>
          <w:p w14:paraId="08BB0FC4" w14:textId="77777777" w:rsidR="007A5E73" w:rsidRPr="007A5E73" w:rsidRDefault="007A5E73">
            <w:r w:rsidRPr="007A5E73">
              <w:t>0.019 (1/5220)</w:t>
            </w:r>
          </w:p>
        </w:tc>
        <w:tc>
          <w:tcPr>
            <w:tcW w:w="1800" w:type="dxa"/>
            <w:noWrap/>
            <w:hideMark/>
          </w:tcPr>
          <w:p w14:paraId="0B588A67" w14:textId="77777777" w:rsidR="007A5E73" w:rsidRPr="007A5E73" w:rsidRDefault="007A5E73">
            <w:r w:rsidRPr="007A5E73">
              <w:t>0.017 (1/6047)</w:t>
            </w:r>
          </w:p>
        </w:tc>
        <w:tc>
          <w:tcPr>
            <w:tcW w:w="1710" w:type="dxa"/>
            <w:noWrap/>
            <w:hideMark/>
          </w:tcPr>
          <w:p w14:paraId="5EC24DBC" w14:textId="77777777" w:rsidR="007A5E73" w:rsidRPr="007A5E73" w:rsidRDefault="007A5E73">
            <w:r w:rsidRPr="007A5E73">
              <w:t>0 (0/9128)</w:t>
            </w:r>
          </w:p>
        </w:tc>
        <w:tc>
          <w:tcPr>
            <w:tcW w:w="1890" w:type="dxa"/>
            <w:noWrap/>
            <w:hideMark/>
          </w:tcPr>
          <w:p w14:paraId="5F2D079A" w14:textId="77777777" w:rsidR="007A5E73" w:rsidRPr="007A5E73" w:rsidRDefault="007A5E73">
            <w:r w:rsidRPr="007A5E73">
              <w:t>0.010 (2/20395)</w:t>
            </w:r>
          </w:p>
        </w:tc>
      </w:tr>
      <w:tr w:rsidR="007A5E73" w:rsidRPr="007A5E73" w14:paraId="5D148CCA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7FB773FF" w14:textId="77777777" w:rsidR="007A5E73" w:rsidRPr="007A5E73" w:rsidRDefault="007A5E73" w:rsidP="007A5E73">
            <w:pPr>
              <w:ind w:left="343"/>
            </w:pPr>
            <w:r w:rsidRPr="007A5E73">
              <w:t>9 - 18 months</w:t>
            </w:r>
          </w:p>
        </w:tc>
        <w:tc>
          <w:tcPr>
            <w:tcW w:w="1980" w:type="dxa"/>
            <w:noWrap/>
            <w:hideMark/>
          </w:tcPr>
          <w:p w14:paraId="3BE9F632" w14:textId="77777777" w:rsidR="007A5E73" w:rsidRPr="007A5E73" w:rsidRDefault="007A5E73">
            <w:r w:rsidRPr="007A5E73">
              <w:t>0.070 (6/8613)</w:t>
            </w:r>
          </w:p>
        </w:tc>
        <w:tc>
          <w:tcPr>
            <w:tcW w:w="1800" w:type="dxa"/>
            <w:noWrap/>
            <w:hideMark/>
          </w:tcPr>
          <w:p w14:paraId="1996C00C" w14:textId="77777777" w:rsidR="007A5E73" w:rsidRPr="007A5E73" w:rsidRDefault="007A5E73">
            <w:r w:rsidRPr="007A5E73">
              <w:t>0.058 (6/10400)</w:t>
            </w:r>
          </w:p>
        </w:tc>
        <w:tc>
          <w:tcPr>
            <w:tcW w:w="1710" w:type="dxa"/>
            <w:noWrap/>
            <w:hideMark/>
          </w:tcPr>
          <w:p w14:paraId="475244B5" w14:textId="77777777" w:rsidR="007A5E73" w:rsidRPr="007A5E73" w:rsidRDefault="007A5E73">
            <w:r w:rsidRPr="007A5E73">
              <w:t>0.014 (2/14425)</w:t>
            </w:r>
          </w:p>
        </w:tc>
        <w:tc>
          <w:tcPr>
            <w:tcW w:w="1890" w:type="dxa"/>
            <w:noWrap/>
            <w:hideMark/>
          </w:tcPr>
          <w:p w14:paraId="3A229E02" w14:textId="77777777" w:rsidR="007A5E73" w:rsidRPr="007A5E73" w:rsidRDefault="007A5E73">
            <w:r w:rsidRPr="007A5E73">
              <w:t>0.042 (14/33438)</w:t>
            </w:r>
          </w:p>
        </w:tc>
      </w:tr>
      <w:tr w:rsidR="007A5E73" w:rsidRPr="007A5E73" w14:paraId="799DD2DE" w14:textId="77777777" w:rsidTr="007A5E73">
        <w:trPr>
          <w:trHeight w:val="300"/>
        </w:trPr>
        <w:tc>
          <w:tcPr>
            <w:tcW w:w="2160" w:type="dxa"/>
            <w:noWrap/>
            <w:hideMark/>
          </w:tcPr>
          <w:p w14:paraId="786A07F5" w14:textId="77777777" w:rsidR="007A5E73" w:rsidRPr="007A5E73" w:rsidRDefault="007A5E73" w:rsidP="007A5E73">
            <w:pPr>
              <w:ind w:left="343"/>
            </w:pPr>
            <w:r w:rsidRPr="007A5E73">
              <w:t>&gt; 18 months</w:t>
            </w:r>
          </w:p>
        </w:tc>
        <w:tc>
          <w:tcPr>
            <w:tcW w:w="1980" w:type="dxa"/>
            <w:noWrap/>
            <w:hideMark/>
          </w:tcPr>
          <w:p w14:paraId="16C03565" w14:textId="77777777" w:rsidR="007A5E73" w:rsidRPr="007A5E73" w:rsidRDefault="007A5E73">
            <w:r w:rsidRPr="007A5E73">
              <w:t>0.169 (4/2371)</w:t>
            </w:r>
          </w:p>
        </w:tc>
        <w:tc>
          <w:tcPr>
            <w:tcW w:w="1800" w:type="dxa"/>
            <w:noWrap/>
            <w:hideMark/>
          </w:tcPr>
          <w:p w14:paraId="66CD330A" w14:textId="77777777" w:rsidR="007A5E73" w:rsidRPr="007A5E73" w:rsidRDefault="007A5E73">
            <w:r w:rsidRPr="007A5E73">
              <w:t>0.158 (5/3168)</w:t>
            </w:r>
          </w:p>
        </w:tc>
        <w:tc>
          <w:tcPr>
            <w:tcW w:w="1710" w:type="dxa"/>
            <w:noWrap/>
            <w:hideMark/>
          </w:tcPr>
          <w:p w14:paraId="692BEE2E" w14:textId="77777777" w:rsidR="007A5E73" w:rsidRPr="007A5E73" w:rsidRDefault="007A5E73">
            <w:r w:rsidRPr="007A5E73">
              <w:t>0 (0/3910)</w:t>
            </w:r>
          </w:p>
        </w:tc>
        <w:tc>
          <w:tcPr>
            <w:tcW w:w="1890" w:type="dxa"/>
            <w:noWrap/>
            <w:hideMark/>
          </w:tcPr>
          <w:p w14:paraId="555D5BF6" w14:textId="77777777" w:rsidR="007A5E73" w:rsidRPr="007A5E73" w:rsidRDefault="007A5E73">
            <w:r w:rsidRPr="007A5E73">
              <w:t>0.095 (9/9449)</w:t>
            </w:r>
          </w:p>
        </w:tc>
      </w:tr>
      <w:tr w:rsidR="007A5E73" w:rsidRPr="007A5E73" w14:paraId="3A233345" w14:textId="77777777" w:rsidTr="007A5E73">
        <w:trPr>
          <w:trHeight w:val="300"/>
        </w:trPr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36AF7B12" w14:textId="77777777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All Ages and Sexes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noWrap/>
            <w:hideMark/>
          </w:tcPr>
          <w:p w14:paraId="05113517" w14:textId="77777777" w:rsidR="007A5E73" w:rsidRPr="007A5E73" w:rsidRDefault="007A5E73">
            <w:r w:rsidRPr="007A5E73">
              <w:t>0.068 (11/16204)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hideMark/>
          </w:tcPr>
          <w:p w14:paraId="002E54C7" w14:textId="77777777" w:rsidR="007A5E73" w:rsidRPr="007A5E73" w:rsidRDefault="007A5E73">
            <w:r w:rsidRPr="007A5E73">
              <w:t>0.061 (12/19615)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14:paraId="0C770A39" w14:textId="77777777" w:rsidR="007A5E73" w:rsidRPr="007A5E73" w:rsidRDefault="007A5E73">
            <w:r w:rsidRPr="007A5E73">
              <w:t>0.007 (2/27463)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4DCFDB77" w14:textId="77777777" w:rsidR="007A5E73" w:rsidRPr="007A5E73" w:rsidRDefault="007A5E73">
            <w:r w:rsidRPr="007A5E73">
              <w:t>0.040 (25/63282)</w:t>
            </w:r>
          </w:p>
        </w:tc>
      </w:tr>
    </w:tbl>
    <w:p w14:paraId="46ED2245" w14:textId="11787E07" w:rsidR="007A5E73" w:rsidRPr="00AA6EE8" w:rsidRDefault="008A722F" w:rsidP="00F47877">
      <w:r w:rsidRPr="008A722F">
        <w:rPr>
          <w:b/>
        </w:rPr>
        <w:t>Table 3.</w:t>
      </w:r>
      <w:r>
        <w:rPr>
          <w:b/>
        </w:rPr>
        <w:t xml:space="preserve"> </w:t>
      </w:r>
      <w:r w:rsidR="00AA6EE8">
        <w:t xml:space="preserve">Allergic-like reaction rates across different contrast agents for a variety of age groups and sex combinations. Rates are represented as </w:t>
      </w:r>
      <w:proofErr w:type="spellStart"/>
      <w:r w:rsidR="00AA6EE8">
        <w:t>percents</w:t>
      </w:r>
      <w:proofErr w:type="spellEnd"/>
      <w:r w:rsidR="00AA6EE8">
        <w:t xml:space="preserve"> followed by the respective ratio.</w:t>
      </w:r>
    </w:p>
    <w:p w14:paraId="231E9EAE" w14:textId="68BA4A82" w:rsidR="007A5E73" w:rsidRDefault="007A5E73" w:rsidP="00F478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163"/>
        <w:gridCol w:w="1540"/>
        <w:gridCol w:w="2111"/>
        <w:gridCol w:w="1836"/>
      </w:tblGrid>
      <w:tr w:rsidR="007A5E73" w:rsidRPr="007A5E73" w14:paraId="2E178FCD" w14:textId="77777777" w:rsidTr="007A5E73">
        <w:trPr>
          <w:trHeight w:val="3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542C63" w14:textId="77777777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Contrast Agent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37A1D7" w14:textId="7F69B863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 xml:space="preserve">Reaction Rate 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4880B6" w14:textId="77777777" w:rsidR="007A5E73" w:rsidRPr="007A5E73" w:rsidRDefault="007A5E73">
            <w:pPr>
              <w:rPr>
                <w:b/>
              </w:rPr>
            </w:pPr>
            <w:proofErr w:type="spellStart"/>
            <w:r w:rsidRPr="007A5E73">
              <w:rPr>
                <w:b/>
              </w:rPr>
              <w:t>Gadavist</w:t>
            </w:r>
            <w:proofErr w:type="spellEnd"/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7E8428" w14:textId="77777777" w:rsidR="007A5E73" w:rsidRPr="007A5E73" w:rsidRDefault="007A5E73">
            <w:pPr>
              <w:rPr>
                <w:b/>
              </w:rPr>
            </w:pPr>
            <w:proofErr w:type="spellStart"/>
            <w:r w:rsidRPr="007A5E73">
              <w:rPr>
                <w:b/>
              </w:rPr>
              <w:t>Magnevist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A0DBA8" w14:textId="77777777" w:rsidR="007A5E73" w:rsidRPr="007A5E73" w:rsidRDefault="007A5E73">
            <w:pPr>
              <w:rPr>
                <w:b/>
              </w:rPr>
            </w:pPr>
            <w:r w:rsidRPr="007A5E73">
              <w:rPr>
                <w:b/>
              </w:rPr>
              <w:t>Other</w:t>
            </w:r>
          </w:p>
        </w:tc>
      </w:tr>
      <w:tr w:rsidR="007A5E73" w:rsidRPr="007A5E73" w14:paraId="75300E82" w14:textId="77777777" w:rsidTr="007A5E73">
        <w:trPr>
          <w:trHeight w:val="300"/>
        </w:trPr>
        <w:tc>
          <w:tcPr>
            <w:tcW w:w="1710" w:type="dxa"/>
            <w:tcBorders>
              <w:top w:val="single" w:sz="4" w:space="0" w:color="auto"/>
            </w:tcBorders>
            <w:noWrap/>
            <w:hideMark/>
          </w:tcPr>
          <w:p w14:paraId="58F48828" w14:textId="77777777" w:rsidR="007A5E73" w:rsidRPr="007A5E73" w:rsidRDefault="007A5E73">
            <w:proofErr w:type="spellStart"/>
            <w:r w:rsidRPr="007A5E73">
              <w:t>Gadavist</w:t>
            </w:r>
            <w:proofErr w:type="spellEnd"/>
          </w:p>
        </w:tc>
        <w:tc>
          <w:tcPr>
            <w:tcW w:w="2163" w:type="dxa"/>
            <w:tcBorders>
              <w:top w:val="single" w:sz="4" w:space="0" w:color="auto"/>
            </w:tcBorders>
            <w:noWrap/>
            <w:hideMark/>
          </w:tcPr>
          <w:p w14:paraId="38185AD2" w14:textId="77777777" w:rsidR="007A5E73" w:rsidRPr="007A5E73" w:rsidRDefault="007A5E73">
            <w:r w:rsidRPr="007A5E73">
              <w:t>0.068 (11/16204)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noWrap/>
            <w:hideMark/>
          </w:tcPr>
          <w:p w14:paraId="19610089" w14:textId="77777777" w:rsidR="007A5E73" w:rsidRPr="007A5E73" w:rsidRDefault="007A5E73">
            <w:r w:rsidRPr="007A5E73">
              <w:t xml:space="preserve"> -- 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noWrap/>
            <w:hideMark/>
          </w:tcPr>
          <w:p w14:paraId="395E3DDE" w14:textId="77777777" w:rsidR="007A5E73" w:rsidRPr="007A5E73" w:rsidRDefault="007A5E73">
            <w:r w:rsidRPr="007A5E73">
              <w:t>1.11 (0.49, 2.52) [0.803]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noWrap/>
            <w:hideMark/>
          </w:tcPr>
          <w:p w14:paraId="6F784D08" w14:textId="77777777" w:rsidR="007A5E73" w:rsidRPr="007A5E73" w:rsidRDefault="007A5E73">
            <w:r w:rsidRPr="007A5E73">
              <w:t>9.33 (2.07, 42.09) [&lt; 0.001]</w:t>
            </w:r>
          </w:p>
        </w:tc>
      </w:tr>
      <w:tr w:rsidR="007A5E73" w:rsidRPr="007A5E73" w14:paraId="19867157" w14:textId="77777777" w:rsidTr="007A5E73">
        <w:trPr>
          <w:trHeight w:val="300"/>
        </w:trPr>
        <w:tc>
          <w:tcPr>
            <w:tcW w:w="1710" w:type="dxa"/>
            <w:noWrap/>
            <w:hideMark/>
          </w:tcPr>
          <w:p w14:paraId="4FA992ED" w14:textId="77777777" w:rsidR="007A5E73" w:rsidRPr="007A5E73" w:rsidRDefault="007A5E73">
            <w:proofErr w:type="spellStart"/>
            <w:r w:rsidRPr="007A5E73">
              <w:t>Magnevist</w:t>
            </w:r>
            <w:proofErr w:type="spellEnd"/>
          </w:p>
        </w:tc>
        <w:tc>
          <w:tcPr>
            <w:tcW w:w="2163" w:type="dxa"/>
            <w:noWrap/>
            <w:hideMark/>
          </w:tcPr>
          <w:p w14:paraId="3776781F" w14:textId="77777777" w:rsidR="007A5E73" w:rsidRPr="007A5E73" w:rsidRDefault="007A5E73">
            <w:r w:rsidRPr="007A5E73">
              <w:t>0.061 (12/19615)</w:t>
            </w:r>
          </w:p>
        </w:tc>
        <w:tc>
          <w:tcPr>
            <w:tcW w:w="1540" w:type="dxa"/>
            <w:noWrap/>
            <w:hideMark/>
          </w:tcPr>
          <w:p w14:paraId="56EB17ED" w14:textId="77777777" w:rsidR="007A5E73" w:rsidRPr="007A5E73" w:rsidRDefault="007A5E73"/>
        </w:tc>
        <w:tc>
          <w:tcPr>
            <w:tcW w:w="2111" w:type="dxa"/>
            <w:noWrap/>
            <w:hideMark/>
          </w:tcPr>
          <w:p w14:paraId="1401B0B3" w14:textId="77777777" w:rsidR="007A5E73" w:rsidRPr="007A5E73" w:rsidRDefault="007A5E73">
            <w:r w:rsidRPr="007A5E73">
              <w:t xml:space="preserve"> -- </w:t>
            </w:r>
          </w:p>
        </w:tc>
        <w:tc>
          <w:tcPr>
            <w:tcW w:w="1836" w:type="dxa"/>
            <w:noWrap/>
            <w:hideMark/>
          </w:tcPr>
          <w:p w14:paraId="1FE46F16" w14:textId="77777777" w:rsidR="007A5E73" w:rsidRPr="007A5E73" w:rsidRDefault="007A5E73">
            <w:r w:rsidRPr="007A5E73">
              <w:t>8.41 (1.88, 37.56) [&lt; 0.001]</w:t>
            </w:r>
          </w:p>
        </w:tc>
      </w:tr>
      <w:tr w:rsidR="007A5E73" w:rsidRPr="007A5E73" w14:paraId="5AAFD5C0" w14:textId="77777777" w:rsidTr="007A5E73">
        <w:trPr>
          <w:trHeight w:val="300"/>
        </w:trPr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14:paraId="55B6E1FB" w14:textId="77777777" w:rsidR="007A5E73" w:rsidRPr="007A5E73" w:rsidRDefault="007A5E73">
            <w:r w:rsidRPr="007A5E73">
              <w:t>Other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noWrap/>
            <w:hideMark/>
          </w:tcPr>
          <w:p w14:paraId="6408500B" w14:textId="77777777" w:rsidR="007A5E73" w:rsidRPr="007A5E73" w:rsidRDefault="007A5E73">
            <w:r w:rsidRPr="007A5E73">
              <w:t>0.007 (2/27463)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noWrap/>
            <w:hideMark/>
          </w:tcPr>
          <w:p w14:paraId="2DF3AB7C" w14:textId="77777777" w:rsidR="007A5E73" w:rsidRPr="007A5E73" w:rsidRDefault="007A5E73"/>
        </w:tc>
        <w:tc>
          <w:tcPr>
            <w:tcW w:w="2111" w:type="dxa"/>
            <w:tcBorders>
              <w:bottom w:val="single" w:sz="4" w:space="0" w:color="auto"/>
            </w:tcBorders>
            <w:noWrap/>
            <w:hideMark/>
          </w:tcPr>
          <w:p w14:paraId="780686B1" w14:textId="77777777" w:rsidR="007A5E73" w:rsidRPr="007A5E73" w:rsidRDefault="007A5E73"/>
        </w:tc>
        <w:tc>
          <w:tcPr>
            <w:tcW w:w="1836" w:type="dxa"/>
            <w:tcBorders>
              <w:bottom w:val="single" w:sz="4" w:space="0" w:color="auto"/>
            </w:tcBorders>
            <w:noWrap/>
            <w:hideMark/>
          </w:tcPr>
          <w:p w14:paraId="2D6A1B8E" w14:textId="77777777" w:rsidR="007A5E73" w:rsidRPr="007A5E73" w:rsidRDefault="007A5E73">
            <w:r w:rsidRPr="007A5E73">
              <w:t xml:space="preserve"> -- </w:t>
            </w:r>
          </w:p>
        </w:tc>
      </w:tr>
    </w:tbl>
    <w:p w14:paraId="4DC93A23" w14:textId="0B587B3F" w:rsidR="007A5E73" w:rsidRPr="00AA6EE8" w:rsidRDefault="008A722F" w:rsidP="00F47877">
      <w:r w:rsidRPr="008A722F">
        <w:rPr>
          <w:b/>
        </w:rPr>
        <w:t>Table 4.</w:t>
      </w:r>
      <w:r>
        <w:rPr>
          <w:b/>
        </w:rPr>
        <w:t xml:space="preserve"> </w:t>
      </w:r>
      <w:r w:rsidR="00AA6EE8">
        <w:t>Chi-Square Statistics comparing rates of allergic-like reactions between each contrast agent. Tests of association are represented by odds ratios, 95% confidence intervals, and p-values.</w:t>
      </w:r>
    </w:p>
    <w:p w14:paraId="75DE8D27" w14:textId="3F89052D" w:rsidR="007A5E73" w:rsidRDefault="007A5E73" w:rsidP="00F47877"/>
    <w:p w14:paraId="06987029" w14:textId="21137C16" w:rsidR="00472BB6" w:rsidRDefault="00472BB6" w:rsidP="00F47877"/>
    <w:p w14:paraId="038C0B66" w14:textId="2E9DEC65" w:rsidR="00472BB6" w:rsidRDefault="00472BB6" w:rsidP="00F47877"/>
    <w:p w14:paraId="7B82BC33" w14:textId="617AE4BD" w:rsidR="00472BB6" w:rsidRDefault="00472BB6" w:rsidP="00F47877"/>
    <w:p w14:paraId="42A61C5F" w14:textId="799B500F" w:rsidR="00472BB6" w:rsidRDefault="00472BB6" w:rsidP="00F47877"/>
    <w:p w14:paraId="565B50B3" w14:textId="0833C99C" w:rsidR="00472BB6" w:rsidRDefault="00472BB6" w:rsidP="00F47877"/>
    <w:p w14:paraId="45CA0C56" w14:textId="6B46A974" w:rsidR="00472BB6" w:rsidRDefault="00472BB6" w:rsidP="00F47877"/>
    <w:p w14:paraId="10DFB810" w14:textId="77777777" w:rsidR="00A023EE" w:rsidRDefault="00A023EE" w:rsidP="00F47877"/>
    <w:p w14:paraId="2E649E68" w14:textId="77777777" w:rsidR="00472BB6" w:rsidRDefault="00472BB6" w:rsidP="00F47877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430"/>
        <w:gridCol w:w="2340"/>
        <w:gridCol w:w="2160"/>
      </w:tblGrid>
      <w:tr w:rsidR="003D7640" w:rsidRPr="007A5E73" w14:paraId="0DCD681D" w14:textId="77777777" w:rsidTr="003D7640">
        <w:trPr>
          <w:trHeight w:val="300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97A2D51" w14:textId="77777777" w:rsidR="007A5E73" w:rsidRPr="007A5E73" w:rsidRDefault="007A5E73">
            <w:r w:rsidRPr="007A5E73">
              <w:lastRenderedPageBreak/>
              <w:t>Time Period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295B23" w14:textId="77777777" w:rsidR="007A5E73" w:rsidRPr="007A5E73" w:rsidRDefault="007A5E73">
            <w:r w:rsidRPr="007A5E73">
              <w:t>Overall Reaction Rate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9A17F8" w14:textId="77777777" w:rsidR="007A5E73" w:rsidRPr="007A5E73" w:rsidRDefault="007A5E73">
            <w:r w:rsidRPr="007A5E73">
              <w:t>OR (95% CI)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2965F28" w14:textId="77777777" w:rsidR="007A5E73" w:rsidRPr="007A5E73" w:rsidRDefault="007A5E73">
            <w:r w:rsidRPr="007A5E73">
              <w:t>P Value</w:t>
            </w:r>
          </w:p>
        </w:tc>
      </w:tr>
      <w:tr w:rsidR="003D7640" w:rsidRPr="007A5E73" w14:paraId="47AE9591" w14:textId="77777777" w:rsidTr="003D7640">
        <w:trPr>
          <w:trHeight w:val="300"/>
        </w:trPr>
        <w:tc>
          <w:tcPr>
            <w:tcW w:w="2515" w:type="dxa"/>
            <w:tcBorders>
              <w:top w:val="single" w:sz="4" w:space="0" w:color="auto"/>
            </w:tcBorders>
            <w:noWrap/>
            <w:hideMark/>
          </w:tcPr>
          <w:p w14:paraId="1C1FC747" w14:textId="77777777" w:rsidR="007A5E73" w:rsidRPr="007A5E73" w:rsidRDefault="007A5E73">
            <w:r w:rsidRPr="007A5E73">
              <w:t>2005 Q2 - 2007 Q1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14:paraId="0A2C9EC0" w14:textId="77777777" w:rsidR="007A5E73" w:rsidRPr="007A5E73" w:rsidRDefault="007A5E73">
            <w:r w:rsidRPr="007A5E73">
              <w:t>0.014 (1/6959)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noWrap/>
            <w:hideMark/>
          </w:tcPr>
          <w:p w14:paraId="6CD2E8D0" w14:textId="77777777" w:rsidR="007A5E73" w:rsidRPr="007A5E73" w:rsidRDefault="007A5E73">
            <w:r w:rsidRPr="007A5E73">
              <w:t>0.33 (0.04, 2.46)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hideMark/>
          </w:tcPr>
          <w:p w14:paraId="723A7530" w14:textId="77777777" w:rsidR="007A5E73" w:rsidRPr="007A5E73" w:rsidRDefault="007A5E73" w:rsidP="007A5E73">
            <w:r w:rsidRPr="007A5E73">
              <w:t>0.256</w:t>
            </w:r>
          </w:p>
        </w:tc>
      </w:tr>
      <w:tr w:rsidR="007A5E73" w:rsidRPr="007A5E73" w14:paraId="6066165F" w14:textId="77777777" w:rsidTr="003D7640">
        <w:trPr>
          <w:trHeight w:val="300"/>
        </w:trPr>
        <w:tc>
          <w:tcPr>
            <w:tcW w:w="2515" w:type="dxa"/>
            <w:noWrap/>
            <w:hideMark/>
          </w:tcPr>
          <w:p w14:paraId="0FACC182" w14:textId="77777777" w:rsidR="007A5E73" w:rsidRPr="007A5E73" w:rsidRDefault="007A5E73">
            <w:r w:rsidRPr="007A5E73">
              <w:t>2007 Q2 - 2009 Q1</w:t>
            </w:r>
          </w:p>
        </w:tc>
        <w:tc>
          <w:tcPr>
            <w:tcW w:w="2430" w:type="dxa"/>
            <w:noWrap/>
            <w:hideMark/>
          </w:tcPr>
          <w:p w14:paraId="718845EE" w14:textId="77777777" w:rsidR="007A5E73" w:rsidRPr="007A5E73" w:rsidRDefault="007A5E73">
            <w:r w:rsidRPr="007A5E73">
              <w:t>0.025 (2/7760)</w:t>
            </w:r>
          </w:p>
        </w:tc>
        <w:tc>
          <w:tcPr>
            <w:tcW w:w="2340" w:type="dxa"/>
            <w:noWrap/>
            <w:hideMark/>
          </w:tcPr>
          <w:p w14:paraId="13EFB406" w14:textId="77777777" w:rsidR="007A5E73" w:rsidRPr="007A5E73" w:rsidRDefault="007A5E73">
            <w:r w:rsidRPr="007A5E73">
              <w:t>0.61 (0.14, 2.60)</w:t>
            </w:r>
          </w:p>
        </w:tc>
        <w:tc>
          <w:tcPr>
            <w:tcW w:w="2160" w:type="dxa"/>
            <w:noWrap/>
            <w:hideMark/>
          </w:tcPr>
          <w:p w14:paraId="6DDA07B1" w14:textId="77777777" w:rsidR="007A5E73" w:rsidRPr="007A5E73" w:rsidRDefault="007A5E73" w:rsidP="007A5E73">
            <w:r w:rsidRPr="007A5E73">
              <w:t>0.502</w:t>
            </w:r>
          </w:p>
        </w:tc>
      </w:tr>
      <w:tr w:rsidR="007A5E73" w:rsidRPr="007A5E73" w14:paraId="195CC239" w14:textId="77777777" w:rsidTr="003D7640">
        <w:trPr>
          <w:trHeight w:val="300"/>
        </w:trPr>
        <w:tc>
          <w:tcPr>
            <w:tcW w:w="2515" w:type="dxa"/>
            <w:noWrap/>
            <w:hideMark/>
          </w:tcPr>
          <w:p w14:paraId="47752B21" w14:textId="77777777" w:rsidR="007A5E73" w:rsidRPr="007A5E73" w:rsidRDefault="007A5E73">
            <w:r w:rsidRPr="007A5E73">
              <w:t>2009 Q2 - 2011 Q1</w:t>
            </w:r>
          </w:p>
        </w:tc>
        <w:tc>
          <w:tcPr>
            <w:tcW w:w="2430" w:type="dxa"/>
            <w:noWrap/>
            <w:hideMark/>
          </w:tcPr>
          <w:p w14:paraId="75046B0D" w14:textId="77777777" w:rsidR="007A5E73" w:rsidRPr="007A5E73" w:rsidRDefault="007A5E73">
            <w:r w:rsidRPr="007A5E73">
              <w:t>0.021 (2/9407)</w:t>
            </w:r>
          </w:p>
        </w:tc>
        <w:tc>
          <w:tcPr>
            <w:tcW w:w="2340" w:type="dxa"/>
            <w:noWrap/>
            <w:hideMark/>
          </w:tcPr>
          <w:p w14:paraId="458BB84D" w14:textId="77777777" w:rsidR="007A5E73" w:rsidRPr="007A5E73" w:rsidRDefault="007A5E73">
            <w:r w:rsidRPr="007A5E73">
              <w:t>0.49 (0.12, 2.08)</w:t>
            </w:r>
          </w:p>
        </w:tc>
        <w:tc>
          <w:tcPr>
            <w:tcW w:w="2160" w:type="dxa"/>
            <w:noWrap/>
            <w:hideMark/>
          </w:tcPr>
          <w:p w14:paraId="1C2A2F14" w14:textId="77777777" w:rsidR="007A5E73" w:rsidRPr="007A5E73" w:rsidRDefault="007A5E73" w:rsidP="007A5E73">
            <w:r w:rsidRPr="007A5E73">
              <w:t>0.323</w:t>
            </w:r>
          </w:p>
        </w:tc>
      </w:tr>
      <w:tr w:rsidR="007A5E73" w:rsidRPr="007A5E73" w14:paraId="53D4454D" w14:textId="77777777" w:rsidTr="003D7640">
        <w:trPr>
          <w:trHeight w:val="300"/>
        </w:trPr>
        <w:tc>
          <w:tcPr>
            <w:tcW w:w="2515" w:type="dxa"/>
            <w:noWrap/>
            <w:hideMark/>
          </w:tcPr>
          <w:p w14:paraId="1693C1C7" w14:textId="77777777" w:rsidR="007A5E73" w:rsidRPr="007A5E73" w:rsidRDefault="007A5E73">
            <w:r w:rsidRPr="007A5E73">
              <w:t>2011 Q2 - 2013 Q1</w:t>
            </w:r>
          </w:p>
        </w:tc>
        <w:tc>
          <w:tcPr>
            <w:tcW w:w="2430" w:type="dxa"/>
            <w:noWrap/>
            <w:hideMark/>
          </w:tcPr>
          <w:p w14:paraId="3D7DA431" w14:textId="77777777" w:rsidR="007A5E73" w:rsidRPr="007A5E73" w:rsidRDefault="007A5E73">
            <w:r w:rsidRPr="007A5E73">
              <w:t>0.081 (8/9929</w:t>
            </w:r>
          </w:p>
        </w:tc>
        <w:tc>
          <w:tcPr>
            <w:tcW w:w="2340" w:type="dxa"/>
            <w:noWrap/>
            <w:hideMark/>
          </w:tcPr>
          <w:p w14:paraId="1810CEC9" w14:textId="77777777" w:rsidR="007A5E73" w:rsidRPr="007A5E73" w:rsidRDefault="007A5E73">
            <w:r w:rsidRPr="007A5E73">
              <w:t>2.49 (1.07, 5.77)</w:t>
            </w:r>
          </w:p>
        </w:tc>
        <w:tc>
          <w:tcPr>
            <w:tcW w:w="2160" w:type="dxa"/>
            <w:noWrap/>
            <w:hideMark/>
          </w:tcPr>
          <w:p w14:paraId="57D9A679" w14:textId="77777777" w:rsidR="007A5E73" w:rsidRPr="007A5E73" w:rsidRDefault="007A5E73" w:rsidP="007A5E73">
            <w:r w:rsidRPr="007A5E73">
              <w:t>0.028</w:t>
            </w:r>
          </w:p>
        </w:tc>
      </w:tr>
      <w:tr w:rsidR="007A5E73" w:rsidRPr="007A5E73" w14:paraId="5BC6688D" w14:textId="77777777" w:rsidTr="003D7640">
        <w:trPr>
          <w:trHeight w:val="300"/>
        </w:trPr>
        <w:tc>
          <w:tcPr>
            <w:tcW w:w="2515" w:type="dxa"/>
            <w:noWrap/>
            <w:hideMark/>
          </w:tcPr>
          <w:p w14:paraId="1173708B" w14:textId="77777777" w:rsidR="007A5E73" w:rsidRPr="007A5E73" w:rsidRDefault="007A5E73">
            <w:r w:rsidRPr="007A5E73">
              <w:t>2013 Q2 - 2015 Q1</w:t>
            </w:r>
          </w:p>
        </w:tc>
        <w:tc>
          <w:tcPr>
            <w:tcW w:w="2430" w:type="dxa"/>
            <w:noWrap/>
            <w:hideMark/>
          </w:tcPr>
          <w:p w14:paraId="14B1489C" w14:textId="77777777" w:rsidR="007A5E73" w:rsidRPr="007A5E73" w:rsidRDefault="007A5E73">
            <w:r w:rsidRPr="007A5E73">
              <w:t>0 (0/10899)</w:t>
            </w:r>
          </w:p>
        </w:tc>
        <w:tc>
          <w:tcPr>
            <w:tcW w:w="2340" w:type="dxa"/>
            <w:noWrap/>
            <w:hideMark/>
          </w:tcPr>
          <w:p w14:paraId="703B406A" w14:textId="4D0FBE20" w:rsidR="007A5E73" w:rsidRPr="007A5E73" w:rsidRDefault="00472BB6">
            <w:r>
              <w:t>--</w:t>
            </w:r>
          </w:p>
        </w:tc>
        <w:tc>
          <w:tcPr>
            <w:tcW w:w="2160" w:type="dxa"/>
            <w:noWrap/>
            <w:hideMark/>
          </w:tcPr>
          <w:p w14:paraId="2C23281B" w14:textId="0876E2F0" w:rsidR="007A5E73" w:rsidRPr="007A5E73" w:rsidRDefault="00472BB6">
            <w:r>
              <w:t>--</w:t>
            </w:r>
          </w:p>
        </w:tc>
      </w:tr>
      <w:tr w:rsidR="003D7640" w:rsidRPr="007A5E73" w14:paraId="7E3F9A1E" w14:textId="77777777" w:rsidTr="008A722F">
        <w:trPr>
          <w:trHeight w:val="300"/>
        </w:trPr>
        <w:tc>
          <w:tcPr>
            <w:tcW w:w="2515" w:type="dxa"/>
            <w:noWrap/>
            <w:hideMark/>
          </w:tcPr>
          <w:p w14:paraId="65A5D3C5" w14:textId="77777777" w:rsidR="007A5E73" w:rsidRPr="007A5E73" w:rsidRDefault="007A5E73">
            <w:r w:rsidRPr="007A5E73">
              <w:t>2015 Q2 - 2017 Q1</w:t>
            </w:r>
          </w:p>
        </w:tc>
        <w:tc>
          <w:tcPr>
            <w:tcW w:w="2430" w:type="dxa"/>
            <w:noWrap/>
            <w:hideMark/>
          </w:tcPr>
          <w:p w14:paraId="25BA11A6" w14:textId="77777777" w:rsidR="007A5E73" w:rsidRPr="007A5E73" w:rsidRDefault="007A5E73">
            <w:r w:rsidRPr="007A5E73">
              <w:t>0.066 (8/12032)</w:t>
            </w:r>
          </w:p>
        </w:tc>
        <w:tc>
          <w:tcPr>
            <w:tcW w:w="2340" w:type="dxa"/>
            <w:noWrap/>
            <w:hideMark/>
          </w:tcPr>
          <w:p w14:paraId="6E43C20D" w14:textId="77777777" w:rsidR="007A5E73" w:rsidRPr="007A5E73" w:rsidRDefault="007A5E73">
            <w:r w:rsidRPr="007A5E73">
              <w:t>1.97 (0.85, 4.57)</w:t>
            </w:r>
          </w:p>
        </w:tc>
        <w:tc>
          <w:tcPr>
            <w:tcW w:w="2160" w:type="dxa"/>
            <w:noWrap/>
            <w:hideMark/>
          </w:tcPr>
          <w:p w14:paraId="38786821" w14:textId="77777777" w:rsidR="007A5E73" w:rsidRPr="007A5E73" w:rsidRDefault="007A5E73" w:rsidP="007A5E73">
            <w:r w:rsidRPr="007A5E73">
              <w:t>0.107</w:t>
            </w:r>
          </w:p>
        </w:tc>
      </w:tr>
      <w:tr w:rsidR="003D7640" w:rsidRPr="007A5E73" w14:paraId="050614D2" w14:textId="77777777" w:rsidTr="008A722F">
        <w:trPr>
          <w:trHeight w:val="300"/>
        </w:trPr>
        <w:tc>
          <w:tcPr>
            <w:tcW w:w="2515" w:type="dxa"/>
            <w:tcBorders>
              <w:bottom w:val="single" w:sz="4" w:space="0" w:color="auto"/>
            </w:tcBorders>
            <w:noWrap/>
            <w:hideMark/>
          </w:tcPr>
          <w:p w14:paraId="690872D2" w14:textId="77777777" w:rsidR="007A5E73" w:rsidRPr="007A5E73" w:rsidRDefault="007A5E73">
            <w:r w:rsidRPr="007A5E73">
              <w:t>2017 Q2 - 2018 Q1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14:paraId="0429E14C" w14:textId="77777777" w:rsidR="007A5E73" w:rsidRPr="007A5E73" w:rsidRDefault="007A5E73">
            <w:r w:rsidRPr="007A5E73">
              <w:t>0.073 (4/5443)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noWrap/>
            <w:hideMark/>
          </w:tcPr>
          <w:p w14:paraId="55B4CF83" w14:textId="77777777" w:rsidR="007A5E73" w:rsidRPr="007A5E73" w:rsidRDefault="007A5E73">
            <w:r w:rsidRPr="007A5E73">
              <w:t>1.99 (0.68, 5.81)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1489C98E" w14:textId="77777777" w:rsidR="007A5E73" w:rsidRPr="007A5E73" w:rsidRDefault="007A5E73" w:rsidP="007A5E73">
            <w:r w:rsidRPr="007A5E73">
              <w:t>0.197</w:t>
            </w:r>
          </w:p>
        </w:tc>
      </w:tr>
    </w:tbl>
    <w:p w14:paraId="7735DABF" w14:textId="71A4E718" w:rsidR="008A722F" w:rsidRPr="00A023EE" w:rsidRDefault="008A722F" w:rsidP="00F47877">
      <w:pPr>
        <w:rPr>
          <w:b/>
        </w:rPr>
      </w:pPr>
      <w:r w:rsidRPr="008A722F">
        <w:rPr>
          <w:b/>
        </w:rPr>
        <w:t>Table 5.</w:t>
      </w:r>
      <w:r>
        <w:rPr>
          <w:b/>
        </w:rPr>
        <w:t xml:space="preserve"> </w:t>
      </w:r>
      <w:r w:rsidR="00AA6EE8">
        <w:t xml:space="preserve">Chi-Square Statistics comparing rates of allergic-like reactions between each two-year interval starting in March of 2005. Rates are represented by </w:t>
      </w:r>
      <w:proofErr w:type="spellStart"/>
      <w:r w:rsidR="00AA6EE8">
        <w:t>percents</w:t>
      </w:r>
      <w:proofErr w:type="spellEnd"/>
      <w:r w:rsidR="00472BB6">
        <w:t xml:space="preserve"> and ratios.</w:t>
      </w:r>
      <w:r w:rsidR="00AA6EE8">
        <w:t xml:space="preserve"> Tests of association are represented by </w:t>
      </w:r>
      <w:r w:rsidR="00472BB6">
        <w:t xml:space="preserve">odds ratios, 95% confidence intervals, and p-values. </w:t>
      </w:r>
    </w:p>
    <w:p w14:paraId="2710CB4C" w14:textId="432B713D" w:rsidR="008A722F" w:rsidRDefault="008A722F" w:rsidP="00F47877">
      <w:r>
        <w:rPr>
          <w:noProof/>
        </w:rPr>
        <w:lastRenderedPageBreak/>
        <w:drawing>
          <wp:inline distT="0" distB="0" distL="0" distR="0" wp14:anchorId="36EFF336" wp14:editId="7BA6A596">
            <wp:extent cx="5943600" cy="607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13D6" w14:textId="767EA001" w:rsidR="008A722F" w:rsidRPr="00472BB6" w:rsidRDefault="008A722F" w:rsidP="00F47877">
      <w:r w:rsidRPr="008A722F">
        <w:rPr>
          <w:b/>
        </w:rPr>
        <w:t>Figure 2.</w:t>
      </w:r>
      <w:r>
        <w:rPr>
          <w:b/>
        </w:rPr>
        <w:t xml:space="preserve"> </w:t>
      </w:r>
      <w:r w:rsidR="00472BB6">
        <w:t>A graph illustrating the rates of allergic-like reactions according to bi-yearly intervals. Each quarter represents a 6-month interval.</w:t>
      </w:r>
      <w:bookmarkEnd w:id="6"/>
      <w:bookmarkEnd w:id="7"/>
    </w:p>
    <w:sectPr w:rsidR="008A722F" w:rsidRPr="0047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6"/>
    <w:rsid w:val="001321F1"/>
    <w:rsid w:val="0022546C"/>
    <w:rsid w:val="002679DB"/>
    <w:rsid w:val="002A5F26"/>
    <w:rsid w:val="002A5FF3"/>
    <w:rsid w:val="00325EB6"/>
    <w:rsid w:val="0038505A"/>
    <w:rsid w:val="003D7640"/>
    <w:rsid w:val="003E7754"/>
    <w:rsid w:val="00472BB6"/>
    <w:rsid w:val="00485DA2"/>
    <w:rsid w:val="004B1082"/>
    <w:rsid w:val="004F1273"/>
    <w:rsid w:val="00541EB5"/>
    <w:rsid w:val="00552B6C"/>
    <w:rsid w:val="00570CED"/>
    <w:rsid w:val="006452C5"/>
    <w:rsid w:val="00674635"/>
    <w:rsid w:val="0069178D"/>
    <w:rsid w:val="006A2D6C"/>
    <w:rsid w:val="007A5E73"/>
    <w:rsid w:val="007E2597"/>
    <w:rsid w:val="008A722F"/>
    <w:rsid w:val="00966AA1"/>
    <w:rsid w:val="00967248"/>
    <w:rsid w:val="009B7CE3"/>
    <w:rsid w:val="00A023EE"/>
    <w:rsid w:val="00A0499D"/>
    <w:rsid w:val="00AA6EE8"/>
    <w:rsid w:val="00AA799E"/>
    <w:rsid w:val="00B00A4F"/>
    <w:rsid w:val="00B41CF6"/>
    <w:rsid w:val="00BB275C"/>
    <w:rsid w:val="00BE33C6"/>
    <w:rsid w:val="00C425AF"/>
    <w:rsid w:val="00C90FC5"/>
    <w:rsid w:val="00CD532A"/>
    <w:rsid w:val="00DB4E39"/>
    <w:rsid w:val="00DE20FC"/>
    <w:rsid w:val="00DF588B"/>
    <w:rsid w:val="00EC2101"/>
    <w:rsid w:val="00EC7DE0"/>
    <w:rsid w:val="00ED4F74"/>
    <w:rsid w:val="00F47877"/>
    <w:rsid w:val="00F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3A05"/>
  <w15:chartTrackingRefBased/>
  <w15:docId w15:val="{B949C1C5-B2EE-4AB6-81C2-F332D152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9</cp:revision>
  <dcterms:created xsi:type="dcterms:W3CDTF">2018-11-16T03:12:00Z</dcterms:created>
  <dcterms:modified xsi:type="dcterms:W3CDTF">2018-12-21T21:04:00Z</dcterms:modified>
</cp:coreProperties>
</file>