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54C" w:rsidRDefault="00AD154C" w:rsidP="00AD154C">
      <w:pPr>
        <w:jc w:val="center"/>
        <w:rPr>
          <w:b/>
          <w:bCs/>
        </w:rPr>
      </w:pPr>
      <w:r w:rsidRPr="00F37BE3">
        <w:rPr>
          <w:b/>
          <w:bCs/>
        </w:rPr>
        <w:t>Keppra Study Report</w:t>
      </w:r>
      <w:r>
        <w:rPr>
          <w:b/>
          <w:bCs/>
        </w:rPr>
        <w:t xml:space="preserve"> R-168</w:t>
      </w:r>
    </w:p>
    <w:p w:rsidR="00AD154C" w:rsidRDefault="00AD154C" w:rsidP="00AD154C"/>
    <w:p w:rsidR="00AD154C" w:rsidRPr="00726C9B" w:rsidRDefault="00AD154C" w:rsidP="00AD154C">
      <w:pPr>
        <w:pStyle w:val="ListParagraph"/>
        <w:numPr>
          <w:ilvl w:val="0"/>
          <w:numId w:val="1"/>
        </w:numPr>
        <w:rPr>
          <w:b/>
          <w:bCs/>
        </w:rPr>
      </w:pPr>
      <w:r w:rsidRPr="00726C9B">
        <w:rPr>
          <w:rFonts w:ascii="Arial" w:hAnsi="Arial" w:cs="Arial"/>
          <w:b/>
          <w:bCs/>
          <w:color w:val="222222"/>
          <w:shd w:val="clear" w:color="auto" w:fill="FFFFFF"/>
        </w:rPr>
        <w:t>Compare the baseline demographics between each group to see if there are any differences (Columns B - J).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520"/>
        <w:gridCol w:w="2660"/>
        <w:gridCol w:w="960"/>
      </w:tblGrid>
      <w:tr w:rsidR="00AD154C" w:rsidRPr="00AD154C" w:rsidTr="00C33624">
        <w:trPr>
          <w:trHeight w:val="295"/>
        </w:trPr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5180" w:type="dxa"/>
            <w:gridSpan w:val="2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Behavioral Event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P-Value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vMerge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No (n=512)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Yes (n=453)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Age at Admission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59.41 (18.49)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60.87 (18.63)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0.221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Ethnicity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0.486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Black or African American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233 (45.5)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191 (42.2)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20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( 3.9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23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( 5.1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9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( 1.8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5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( 1.1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250 (48.8)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234 (51.7)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Gender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&gt;0.999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267 (52.1)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237 (52.3)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245 (47.9)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216 (47.7)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Diagnosis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0.418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Cerebral infarction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141 (27.5)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111 (24.5)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Intracerebral hemorrhage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155 (30.3)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147 (32.5)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Subarachnoid hemorrhage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78 (15.2)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 (13.0)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Traumatic intracranial injury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138 (27.0)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136 (30.0)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GCS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11.16 (4.36)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11.11 (4.32)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0.848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Discharge Disposition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Rehab Unit/Facility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77 (15.0)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108 (23.8)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SNF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72 (14.1)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130 (28.7)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Expired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110 (21.5)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50 (11.0)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213 (41.6)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109 (24.1)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Hospice</w:t>
            </w:r>
          </w:p>
        </w:tc>
        <w:tc>
          <w:tcPr>
            <w:tcW w:w="252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14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( 2.7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33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( 7.3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60" w:type="dxa"/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26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( 5.1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 xml:space="preserve">23 </w:t>
            </w:r>
            <w:proofErr w:type="gramStart"/>
            <w:r w:rsidRPr="00AD154C">
              <w:rPr>
                <w:rFonts w:cstheme="minorHAnsi"/>
                <w:sz w:val="20"/>
                <w:szCs w:val="20"/>
              </w:rPr>
              <w:t>( 5.1</w:t>
            </w:r>
            <w:proofErr w:type="gramEnd"/>
            <w:r w:rsidRPr="00AD154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D154C">
              <w:rPr>
                <w:rFonts w:cstheme="minorHAnsi"/>
                <w:sz w:val="20"/>
                <w:szCs w:val="20"/>
              </w:rPr>
              <w:t>log(</w:t>
            </w:r>
            <w:proofErr w:type="gramEnd"/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2.04 (1.02)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2.56 (0.90)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D154C">
              <w:rPr>
                <w:rFonts w:cstheme="minorHAnsi"/>
                <w:sz w:val="20"/>
                <w:szCs w:val="20"/>
              </w:rPr>
              <w:t>log(</w:t>
            </w:r>
            <w:proofErr w:type="gramEnd"/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1.55 (1.10)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1.99 (1.03)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D154C">
              <w:rPr>
                <w:rFonts w:cstheme="minorHAnsi"/>
                <w:sz w:val="20"/>
                <w:szCs w:val="20"/>
              </w:rPr>
              <w:t>log(</w:t>
            </w:r>
            <w:proofErr w:type="gramEnd"/>
            <w:r w:rsidRPr="00AD154C">
              <w:rPr>
                <w:rFonts w:cstheme="minorHAnsi"/>
                <w:b/>
                <w:bCs/>
                <w:sz w:val="20"/>
                <w:szCs w:val="20"/>
              </w:rPr>
              <w:t>Keppra Dose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1.94 (1.01)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2.32 (0.92)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01539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8.11</w:t>
            </w:r>
            <w:r w:rsidRPr="00AD154C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(3</w:t>
            </w:r>
            <w:r w:rsidRPr="00AD154C">
              <w:rPr>
                <w:rFonts w:eastAsia="Times New Roman" w:cstheme="minorHAnsi"/>
                <w:sz w:val="20"/>
                <w:szCs w:val="20"/>
              </w:rPr>
              <w:t>.80-16.60</w:t>
            </w:r>
            <w:r w:rsidRPr="00AD154C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 w:rsidRPr="00AD154C">
              <w:rPr>
                <w:rStyle w:val="gd15mcfceub"/>
                <w:rFonts w:asciiTheme="minorHAnsi" w:hAnsiTheme="minorHAnsi" w:cstheme="minorHAnsi"/>
                <w:color w:val="000000"/>
                <w:bdr w:val="none" w:sz="0" w:space="0" w:color="auto" w:frame="1"/>
              </w:rPr>
              <w:t>13.91 (7.01-23.61)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4.40 (2.00-11.10)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7.60 (3.60-16.10)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AD154C" w:rsidRPr="00AD154C" w:rsidTr="00C3362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Keppra Dose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8.00 (3.00-14.00)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12.00 (6.00-17.00)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D154C" w:rsidRPr="00AD154C" w:rsidRDefault="00AD154C" w:rsidP="00C33624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</w:tbl>
    <w:p w:rsidR="00AD154C" w:rsidRDefault="00AD154C" w:rsidP="00AD154C"/>
    <w:p w:rsidR="00726C9B" w:rsidRPr="00726C9B" w:rsidRDefault="00AD154C" w:rsidP="00AD154C">
      <w:pPr>
        <w:rPr>
          <w:color w:val="FF0000"/>
        </w:rPr>
      </w:pPr>
      <w:r w:rsidRPr="00726C9B">
        <w:rPr>
          <w:color w:val="FF0000"/>
        </w:rPr>
        <w:t>Notes:</w:t>
      </w:r>
    </w:p>
    <w:p w:rsidR="00AD154C" w:rsidRPr="00726C9B" w:rsidRDefault="00AD154C" w:rsidP="00726C9B">
      <w:pPr>
        <w:pStyle w:val="ListParagraph"/>
        <w:numPr>
          <w:ilvl w:val="0"/>
          <w:numId w:val="2"/>
        </w:numPr>
        <w:rPr>
          <w:color w:val="FF0000"/>
        </w:rPr>
      </w:pPr>
      <w:r w:rsidRPr="00726C9B">
        <w:rPr>
          <w:color w:val="FF0000"/>
        </w:rPr>
        <w:t xml:space="preserve">For Age, </w:t>
      </w:r>
      <w:r w:rsidR="00726C9B" w:rsidRPr="00726C9B">
        <w:rPr>
          <w:color w:val="FF0000"/>
        </w:rPr>
        <w:t xml:space="preserve">GCS, </w:t>
      </w:r>
      <w:proofErr w:type="gramStart"/>
      <w:r w:rsidR="00726C9B" w:rsidRPr="00726C9B">
        <w:rPr>
          <w:color w:val="FF0000"/>
        </w:rPr>
        <w:t>log(</w:t>
      </w:r>
      <w:proofErr w:type="gramEnd"/>
      <w:r w:rsidR="00726C9B" w:rsidRPr="00726C9B">
        <w:rPr>
          <w:rFonts w:cstheme="minorHAnsi"/>
          <w:color w:val="FF0000"/>
          <w:sz w:val="20"/>
          <w:szCs w:val="20"/>
        </w:rPr>
        <w:t>Length of Stay at Hospital</w:t>
      </w:r>
      <w:r w:rsidR="00726C9B" w:rsidRPr="00726C9B">
        <w:rPr>
          <w:color w:val="FF0000"/>
        </w:rPr>
        <w:t xml:space="preserve">), </w:t>
      </w:r>
      <w:r w:rsidR="00726C9B" w:rsidRPr="00726C9B">
        <w:rPr>
          <w:color w:val="FF0000"/>
        </w:rPr>
        <w:t>log(</w:t>
      </w:r>
      <w:r w:rsidR="00726C9B" w:rsidRPr="00726C9B">
        <w:rPr>
          <w:rFonts w:cstheme="minorHAnsi"/>
          <w:color w:val="FF0000"/>
          <w:sz w:val="20"/>
          <w:szCs w:val="20"/>
        </w:rPr>
        <w:t xml:space="preserve">Length of Stay </w:t>
      </w:r>
      <w:r w:rsidR="00726C9B" w:rsidRPr="00726C9B">
        <w:rPr>
          <w:rFonts w:cstheme="minorHAnsi"/>
          <w:color w:val="FF0000"/>
          <w:sz w:val="20"/>
          <w:szCs w:val="20"/>
        </w:rPr>
        <w:t>in ICU</w:t>
      </w:r>
      <w:r w:rsidR="00726C9B" w:rsidRPr="00726C9B">
        <w:rPr>
          <w:color w:val="FF0000"/>
        </w:rPr>
        <w:t>)</w:t>
      </w:r>
      <w:r w:rsidR="00726C9B" w:rsidRPr="00726C9B">
        <w:rPr>
          <w:color w:val="FF0000"/>
        </w:rPr>
        <w:t xml:space="preserve">, and </w:t>
      </w:r>
      <w:r w:rsidR="00726C9B" w:rsidRPr="00726C9B">
        <w:rPr>
          <w:color w:val="FF0000"/>
        </w:rPr>
        <w:t>log(</w:t>
      </w:r>
      <w:r w:rsidR="00726C9B" w:rsidRPr="00726C9B">
        <w:rPr>
          <w:rFonts w:cstheme="minorHAnsi"/>
          <w:color w:val="FF0000"/>
          <w:sz w:val="20"/>
          <w:szCs w:val="20"/>
        </w:rPr>
        <w:t>Keppra Dose</w:t>
      </w:r>
      <w:r w:rsidR="00726C9B" w:rsidRPr="00726C9B">
        <w:rPr>
          <w:color w:val="FF0000"/>
        </w:rPr>
        <w:t>)</w:t>
      </w:r>
      <w:r w:rsidR="00726C9B" w:rsidRPr="00726C9B">
        <w:rPr>
          <w:color w:val="FF0000"/>
        </w:rPr>
        <w:t xml:space="preserve"> means and standard deviations are provided. P-values from Student’s t-tests are provided to assess statistical difference between behavioral event.</w:t>
      </w:r>
    </w:p>
    <w:p w:rsidR="00726C9B" w:rsidRPr="00726C9B" w:rsidRDefault="00726C9B" w:rsidP="00726C9B">
      <w:pPr>
        <w:pStyle w:val="ListParagraph"/>
        <w:numPr>
          <w:ilvl w:val="0"/>
          <w:numId w:val="2"/>
        </w:numPr>
        <w:rPr>
          <w:color w:val="FF0000"/>
        </w:rPr>
      </w:pPr>
      <w:r w:rsidRPr="00726C9B">
        <w:rPr>
          <w:color w:val="FF0000"/>
        </w:rPr>
        <w:t xml:space="preserve">For ethnicity, gender, diagnosis, and discharge disposition counts and frequencies are provided. P-values from chi-square tests </w:t>
      </w:r>
      <w:r w:rsidRPr="00726C9B">
        <w:rPr>
          <w:color w:val="FF0000"/>
        </w:rPr>
        <w:t>are provided to assess statistical difference between behavioral event.</w:t>
      </w:r>
    </w:p>
    <w:p w:rsidR="00726C9B" w:rsidRPr="00726C9B" w:rsidRDefault="00726C9B" w:rsidP="00726C9B">
      <w:pPr>
        <w:pStyle w:val="ListParagraph"/>
        <w:numPr>
          <w:ilvl w:val="0"/>
          <w:numId w:val="2"/>
        </w:numPr>
        <w:rPr>
          <w:color w:val="FF0000"/>
        </w:rPr>
      </w:pPr>
      <w:r w:rsidRPr="00726C9B">
        <w:rPr>
          <w:rFonts w:cstheme="minorHAnsi"/>
          <w:color w:val="FF0000"/>
          <w:sz w:val="20"/>
          <w:szCs w:val="20"/>
        </w:rPr>
        <w:t xml:space="preserve">For </w:t>
      </w:r>
      <w:r w:rsidRPr="00726C9B">
        <w:rPr>
          <w:rFonts w:cstheme="minorHAnsi"/>
          <w:color w:val="FF0000"/>
          <w:sz w:val="20"/>
          <w:szCs w:val="20"/>
        </w:rPr>
        <w:t>Length of Stay at Hospital</w:t>
      </w:r>
      <w:r w:rsidRPr="00726C9B">
        <w:rPr>
          <w:color w:val="FF0000"/>
        </w:rPr>
        <w:t xml:space="preserve">, </w:t>
      </w:r>
      <w:r w:rsidRPr="00726C9B">
        <w:rPr>
          <w:rFonts w:cstheme="minorHAnsi"/>
          <w:color w:val="FF0000"/>
          <w:sz w:val="20"/>
          <w:szCs w:val="20"/>
        </w:rPr>
        <w:t>Length of Stay in ICU</w:t>
      </w:r>
      <w:r w:rsidRPr="00726C9B">
        <w:rPr>
          <w:color w:val="FF0000"/>
        </w:rPr>
        <w:t xml:space="preserve">, and </w:t>
      </w:r>
      <w:r w:rsidRPr="00726C9B">
        <w:rPr>
          <w:rFonts w:cstheme="minorHAnsi"/>
          <w:color w:val="FF0000"/>
          <w:sz w:val="20"/>
          <w:szCs w:val="20"/>
        </w:rPr>
        <w:t>Keppra Dose</w:t>
      </w:r>
      <w:r w:rsidRPr="00726C9B">
        <w:rPr>
          <w:rFonts w:cstheme="minorHAnsi"/>
          <w:color w:val="FF0000"/>
          <w:sz w:val="20"/>
          <w:szCs w:val="20"/>
        </w:rPr>
        <w:t xml:space="preserve"> medians and IQRs are provided. P-values from Wilcoxon rank sum tests are provided </w:t>
      </w:r>
      <w:r w:rsidRPr="00726C9B">
        <w:rPr>
          <w:color w:val="FF0000"/>
        </w:rPr>
        <w:t>to assess statistical difference between behavioral event.</w:t>
      </w:r>
    </w:p>
    <w:p w:rsidR="00AD154C" w:rsidRDefault="00AD154C" w:rsidP="00AD154C"/>
    <w:p w:rsidR="00AD154C" w:rsidRPr="00726C9B" w:rsidRDefault="00AD154C" w:rsidP="00AD154C">
      <w:pPr>
        <w:pStyle w:val="ListParagraph"/>
        <w:numPr>
          <w:ilvl w:val="0"/>
          <w:numId w:val="1"/>
        </w:numPr>
        <w:rPr>
          <w:b/>
          <w:bCs/>
        </w:rPr>
      </w:pPr>
      <w:r w:rsidRPr="00726C9B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In the patients with a behavioral event we would like to determine the incidence of each (columns K, L, O, Q, and R) </w:t>
      </w:r>
    </w:p>
    <w:p w:rsidR="00FF30B1" w:rsidRDefault="00AD154C" w:rsidP="00AD154C">
      <w:pPr>
        <w:jc w:val="center"/>
      </w:pPr>
      <w:r>
        <w:rPr>
          <w:noProof/>
        </w:rPr>
        <w:drawing>
          <wp:inline distT="0" distB="0" distL="0" distR="0">
            <wp:extent cx="5586095" cy="8356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9B" w:rsidRDefault="00726C9B" w:rsidP="00726C9B"/>
    <w:p w:rsidR="00AD154C" w:rsidRDefault="00AD154C" w:rsidP="00AD154C">
      <w:pPr>
        <w:jc w:val="center"/>
      </w:pPr>
    </w:p>
    <w:p w:rsidR="00AD154C" w:rsidRPr="00AD154C" w:rsidRDefault="00AD154C" w:rsidP="00AD15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he percent with multiple (yes in 2 or more columns)</w:t>
      </w:r>
    </w:p>
    <w:p w:rsidR="00AD154C" w:rsidRDefault="00AD154C" w:rsidP="00AD154C">
      <w:r>
        <w:rPr>
          <w:noProof/>
        </w:rPr>
        <w:drawing>
          <wp:inline distT="0" distB="0" distL="0" distR="0">
            <wp:extent cx="6858000" cy="676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4C" w:rsidRDefault="00AD154C" w:rsidP="00AD154C"/>
    <w:p w:rsidR="00AD154C" w:rsidRDefault="00AD154C" w:rsidP="00AD154C"/>
    <w:p w:rsidR="00AD154C" w:rsidRDefault="00AD154C" w:rsidP="00AD154C"/>
    <w:p w:rsidR="00AD154C" w:rsidRDefault="00AD154C" w:rsidP="00AD154C"/>
    <w:p w:rsidR="00AD154C" w:rsidRDefault="00AD154C" w:rsidP="00AD154C"/>
    <w:p w:rsidR="00AD154C" w:rsidRDefault="00AD154C" w:rsidP="00AD154C"/>
    <w:p w:rsidR="00AD154C" w:rsidRDefault="00AD154C" w:rsidP="00AD154C"/>
    <w:p w:rsidR="00AD154C" w:rsidRPr="00726C9B" w:rsidRDefault="00AD154C" w:rsidP="00AD154C">
      <w:pPr>
        <w:pStyle w:val="ListParagraph"/>
        <w:numPr>
          <w:ilvl w:val="0"/>
          <w:numId w:val="1"/>
        </w:numPr>
        <w:rPr>
          <w:b/>
          <w:bCs/>
        </w:rPr>
      </w:pPr>
      <w:r w:rsidRPr="00726C9B">
        <w:rPr>
          <w:rFonts w:ascii="Arial" w:hAnsi="Arial" w:cs="Arial"/>
          <w:b/>
          <w:bCs/>
          <w:color w:val="222222"/>
          <w:shd w:val="clear" w:color="auto" w:fill="FFFFFF"/>
        </w:rPr>
        <w:t>In patients with a "yes" in column L, we would like to determine the most frequently administered drug (column M)</w:t>
      </w:r>
    </w:p>
    <w:p w:rsidR="00AD154C" w:rsidRDefault="00AD154C" w:rsidP="00AD154C">
      <w:r w:rsidRPr="00571F31">
        <w:drawing>
          <wp:inline distT="0" distB="0" distL="0" distR="0" wp14:anchorId="4DDCFEDD" wp14:editId="322A3D00">
            <wp:extent cx="5943600" cy="5861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9B" w:rsidRPr="00726C9B" w:rsidRDefault="00726C9B" w:rsidP="00AD154C">
      <w:pPr>
        <w:rPr>
          <w:color w:val="FF0000"/>
        </w:rPr>
      </w:pPr>
      <w:r w:rsidRPr="00726C9B">
        <w:rPr>
          <w:color w:val="FF0000"/>
        </w:rPr>
        <w:t>Notes:</w:t>
      </w:r>
    </w:p>
    <w:p w:rsidR="00726C9B" w:rsidRPr="00726C9B" w:rsidRDefault="00726C9B" w:rsidP="00726C9B">
      <w:pPr>
        <w:pStyle w:val="ListParagraph"/>
        <w:numPr>
          <w:ilvl w:val="0"/>
          <w:numId w:val="3"/>
        </w:numPr>
        <w:rPr>
          <w:color w:val="FF0000"/>
        </w:rPr>
      </w:pPr>
      <w:r w:rsidRPr="00726C9B">
        <w:rPr>
          <w:color w:val="FF0000"/>
        </w:rPr>
        <w:t>Could not find specific drug names associated with each letter in the data that was provided.</w:t>
      </w:r>
    </w:p>
    <w:p w:rsidR="00726C9B" w:rsidRDefault="00726C9B" w:rsidP="00726C9B"/>
    <w:p w:rsidR="00726C9B" w:rsidRDefault="00726C9B" w:rsidP="00726C9B"/>
    <w:p w:rsidR="00726C9B" w:rsidRDefault="00726C9B" w:rsidP="00726C9B"/>
    <w:p w:rsidR="00726C9B" w:rsidRDefault="00726C9B" w:rsidP="00726C9B"/>
    <w:p w:rsidR="00726C9B" w:rsidRDefault="00726C9B" w:rsidP="00726C9B"/>
    <w:p w:rsidR="00726C9B" w:rsidRDefault="00726C9B" w:rsidP="00726C9B"/>
    <w:p w:rsidR="00726C9B" w:rsidRPr="00726C9B" w:rsidRDefault="00726C9B" w:rsidP="00726C9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Lastly, in patients with a "yes" in column L or O, determining the average time to occurrence (columns N or P respectively) for each, as well as the overall average time, including the shorter duration in patients that have a "yes" in both columns L and O.</w:t>
      </w:r>
    </w:p>
    <w:p w:rsidR="00726C9B" w:rsidRDefault="00726C9B" w:rsidP="00726C9B"/>
    <w:p w:rsidR="00726C9B" w:rsidRPr="004C0739" w:rsidRDefault="00726C9B" w:rsidP="00726C9B">
      <w:pPr>
        <w:rPr>
          <w:color w:val="FF0000"/>
        </w:rPr>
      </w:pPr>
      <w:r w:rsidRPr="004C0739">
        <w:rPr>
          <w:color w:val="FF0000"/>
        </w:rPr>
        <w:t xml:space="preserve">For </w:t>
      </w:r>
      <w:proofErr w:type="gramStart"/>
      <w:r w:rsidRPr="004C0739">
        <w:rPr>
          <w:color w:val="FF0000"/>
        </w:rPr>
        <w:t>these two time</w:t>
      </w:r>
      <w:proofErr w:type="gramEnd"/>
      <w:r w:rsidRPr="004C0739">
        <w:rPr>
          <w:color w:val="FF0000"/>
        </w:rPr>
        <w:t xml:space="preserve"> to event variables there are missing times. These correspond to patients that never received an </w:t>
      </w:r>
      <w:r w:rsidR="004C0739" w:rsidRPr="004C0739">
        <w:rPr>
          <w:color w:val="FF0000"/>
        </w:rPr>
        <w:t>antipsychotic (or positive CAM respectively). To calculate an unbiased median “survival time” we need one of two bits of information that will allow us to f</w:t>
      </w:r>
      <w:bookmarkStart w:id="0" w:name="_GoBack"/>
      <w:bookmarkEnd w:id="0"/>
      <w:r w:rsidR="004C0739" w:rsidRPr="004C0739">
        <w:rPr>
          <w:color w:val="FF0000"/>
        </w:rPr>
        <w:t>ill in values for these patients. They are as follows:</w:t>
      </w:r>
    </w:p>
    <w:p w:rsidR="004C0739" w:rsidRPr="004C0739" w:rsidRDefault="004C0739" w:rsidP="004C0739">
      <w:pPr>
        <w:pStyle w:val="ListParagraph"/>
        <w:numPr>
          <w:ilvl w:val="0"/>
          <w:numId w:val="4"/>
        </w:numPr>
        <w:rPr>
          <w:color w:val="FF0000"/>
        </w:rPr>
      </w:pPr>
      <w:r w:rsidRPr="004C0739">
        <w:rPr>
          <w:color w:val="FF0000"/>
        </w:rPr>
        <w:t>A maximum follow up time</w:t>
      </w:r>
    </w:p>
    <w:p w:rsidR="004C0739" w:rsidRPr="004C0739" w:rsidRDefault="004C0739" w:rsidP="004C0739">
      <w:pPr>
        <w:pStyle w:val="ListParagraph"/>
        <w:ind w:left="1080"/>
        <w:rPr>
          <w:color w:val="FF0000"/>
        </w:rPr>
      </w:pPr>
    </w:p>
    <w:p w:rsidR="004C0739" w:rsidRPr="004C0739" w:rsidRDefault="004C0739" w:rsidP="004C0739">
      <w:pPr>
        <w:pStyle w:val="ListParagraph"/>
        <w:ind w:left="1080"/>
        <w:rPr>
          <w:color w:val="FF0000"/>
        </w:rPr>
      </w:pPr>
      <w:r w:rsidRPr="004C0739">
        <w:rPr>
          <w:color w:val="FF0000"/>
        </w:rPr>
        <w:t>OR</w:t>
      </w:r>
    </w:p>
    <w:p w:rsidR="004C0739" w:rsidRPr="004C0739" w:rsidRDefault="004C0739" w:rsidP="004C0739">
      <w:pPr>
        <w:pStyle w:val="ListParagraph"/>
        <w:ind w:left="1080"/>
        <w:rPr>
          <w:color w:val="FF0000"/>
        </w:rPr>
      </w:pPr>
    </w:p>
    <w:p w:rsidR="004C0739" w:rsidRPr="004C0739" w:rsidRDefault="004C0739" w:rsidP="004C0739">
      <w:pPr>
        <w:pStyle w:val="ListParagraph"/>
        <w:numPr>
          <w:ilvl w:val="0"/>
          <w:numId w:val="4"/>
        </w:numPr>
        <w:rPr>
          <w:color w:val="FF0000"/>
        </w:rPr>
      </w:pPr>
      <w:r w:rsidRPr="004C0739">
        <w:rPr>
          <w:color w:val="FF0000"/>
        </w:rPr>
        <w:t>Two dates: an initial date (i.e. date of admission) and a date of last follow up</w:t>
      </w:r>
    </w:p>
    <w:p w:rsidR="00726C9B" w:rsidRDefault="00726C9B" w:rsidP="00726C9B"/>
    <w:sectPr w:rsidR="00726C9B" w:rsidSect="00C81B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086D"/>
    <w:multiLevelType w:val="hybridMultilevel"/>
    <w:tmpl w:val="F84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33158"/>
    <w:multiLevelType w:val="hybridMultilevel"/>
    <w:tmpl w:val="8398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E0283"/>
    <w:multiLevelType w:val="hybridMultilevel"/>
    <w:tmpl w:val="1D604154"/>
    <w:lvl w:ilvl="0" w:tplc="B6C64D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67532"/>
    <w:multiLevelType w:val="hybridMultilevel"/>
    <w:tmpl w:val="9D6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4C"/>
    <w:rsid w:val="004C0739"/>
    <w:rsid w:val="00726C9B"/>
    <w:rsid w:val="00AD154C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0972"/>
  <w15:chartTrackingRefBased/>
  <w15:docId w15:val="{990BEB52-5893-4AA7-BFF7-58BFB225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15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54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AD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1</cp:revision>
  <dcterms:created xsi:type="dcterms:W3CDTF">2019-09-05T15:47:00Z</dcterms:created>
  <dcterms:modified xsi:type="dcterms:W3CDTF">2019-09-05T16:12:00Z</dcterms:modified>
</cp:coreProperties>
</file>