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1C612" w14:textId="77777777" w:rsidR="003120A3" w:rsidRPr="00643DAB" w:rsidRDefault="003120A3" w:rsidP="003120A3">
      <w:pPr>
        <w:pStyle w:val="Heading2"/>
        <w:jc w:val="center"/>
        <w:rPr>
          <w:rFonts w:cstheme="majorHAnsi"/>
          <w:szCs w:val="22"/>
        </w:rPr>
      </w:pPr>
    </w:p>
    <w:p w14:paraId="12384C73" w14:textId="77777777" w:rsidR="003120A3" w:rsidRPr="008F2227" w:rsidRDefault="003120A3" w:rsidP="003120A3">
      <w:pPr>
        <w:pStyle w:val="Heading2"/>
        <w:spacing w:before="0" w:line="240" w:lineRule="auto"/>
        <w:ind w:left="-270"/>
      </w:pPr>
      <w:r w:rsidRPr="008F2227">
        <w:rPr>
          <w:sz w:val="24"/>
          <w:szCs w:val="24"/>
        </w:rPr>
        <w:t xml:space="preserve">REPORT   </w:t>
      </w:r>
      <w:r w:rsidRPr="008F2227">
        <w:t xml:space="preserve">                                        </w:t>
      </w:r>
    </w:p>
    <w:p w14:paraId="14D99C31" w14:textId="77777777" w:rsidR="003120A3" w:rsidRPr="008F2227" w:rsidRDefault="003120A3" w:rsidP="003120A3">
      <w:pPr>
        <w:spacing w:after="0" w:line="240" w:lineRule="auto"/>
        <w:ind w:left="-270" w:firstLine="0"/>
        <w:rPr>
          <w:b/>
          <w:color w:val="FFAA00"/>
          <w:sz w:val="16"/>
          <w:szCs w:val="16"/>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650"/>
      </w:tblGrid>
      <w:tr w:rsidR="003120A3" w:rsidRPr="008F2227" w14:paraId="6F2989C4" w14:textId="77777777" w:rsidTr="00E217F8">
        <w:tc>
          <w:tcPr>
            <w:tcW w:w="1890" w:type="dxa"/>
            <w:tcBorders>
              <w:top w:val="single" w:sz="4" w:space="0" w:color="7F7F7F" w:themeColor="text1" w:themeTint="80"/>
            </w:tcBorders>
          </w:tcPr>
          <w:p w14:paraId="7B49B10E" w14:textId="77777777" w:rsidR="003120A3" w:rsidRPr="008F2227" w:rsidRDefault="003120A3" w:rsidP="00E217F8">
            <w:pPr>
              <w:spacing w:line="240" w:lineRule="auto"/>
              <w:ind w:left="-108" w:firstLine="0"/>
              <w:rPr>
                <w:b/>
                <w:color w:val="7F7F7F" w:themeColor="text1" w:themeTint="80"/>
              </w:rPr>
            </w:pPr>
            <w:r w:rsidRPr="008F2227">
              <w:rPr>
                <w:b/>
                <w:color w:val="7F7F7F" w:themeColor="text1" w:themeTint="80"/>
              </w:rPr>
              <w:t xml:space="preserve">Project ID: </w:t>
            </w:r>
          </w:p>
        </w:tc>
        <w:tc>
          <w:tcPr>
            <w:tcW w:w="7650" w:type="dxa"/>
            <w:tcBorders>
              <w:top w:val="single" w:sz="4" w:space="0" w:color="7F7F7F" w:themeColor="text1" w:themeTint="80"/>
            </w:tcBorders>
          </w:tcPr>
          <w:p w14:paraId="551A5B33" w14:textId="77777777" w:rsidR="003120A3" w:rsidRPr="008F2227" w:rsidRDefault="003120A3" w:rsidP="00E217F8">
            <w:pPr>
              <w:spacing w:line="240" w:lineRule="auto"/>
              <w:ind w:firstLine="0"/>
              <w:rPr>
                <w:color w:val="7F7F7F" w:themeColor="text1" w:themeTint="80"/>
              </w:rPr>
            </w:pPr>
            <w:r w:rsidRPr="008F2227">
              <w:rPr>
                <w:color w:val="7F7F7F" w:themeColor="text1" w:themeTint="80"/>
              </w:rPr>
              <w:t>R -96</w:t>
            </w:r>
          </w:p>
        </w:tc>
      </w:tr>
      <w:tr w:rsidR="003120A3" w:rsidRPr="008F2227" w14:paraId="469F2472" w14:textId="77777777" w:rsidTr="00E217F8">
        <w:tc>
          <w:tcPr>
            <w:tcW w:w="1890" w:type="dxa"/>
          </w:tcPr>
          <w:p w14:paraId="27972708" w14:textId="77777777" w:rsidR="003120A3" w:rsidRPr="008F2227" w:rsidRDefault="003120A3" w:rsidP="00E217F8">
            <w:pPr>
              <w:spacing w:line="240" w:lineRule="auto"/>
              <w:ind w:left="-108" w:firstLine="0"/>
              <w:rPr>
                <w:color w:val="7F7F7F" w:themeColor="text1" w:themeTint="80"/>
              </w:rPr>
            </w:pPr>
            <w:r w:rsidRPr="008F2227">
              <w:rPr>
                <w:b/>
                <w:color w:val="7F7F7F" w:themeColor="text1" w:themeTint="80"/>
              </w:rPr>
              <w:t>Project:</w:t>
            </w:r>
          </w:p>
        </w:tc>
        <w:tc>
          <w:tcPr>
            <w:tcW w:w="7650" w:type="dxa"/>
          </w:tcPr>
          <w:p w14:paraId="6CC11713" w14:textId="77777777" w:rsidR="003120A3" w:rsidRPr="008F2227" w:rsidRDefault="003120A3" w:rsidP="00E217F8">
            <w:pPr>
              <w:spacing w:line="240" w:lineRule="auto"/>
              <w:ind w:firstLine="0"/>
              <w:rPr>
                <w:color w:val="7F7F7F" w:themeColor="text1" w:themeTint="80"/>
              </w:rPr>
            </w:pPr>
            <w:r w:rsidRPr="008F2227">
              <w:rPr>
                <w:color w:val="7F7F7F" w:themeColor="text1" w:themeTint="80"/>
              </w:rPr>
              <w:t xml:space="preserve">Longitudinal Assessment of the relationship of Age on Quality of life and Uncertainty in Patients Undergoing Intracranial Radiation Therapy </w:t>
            </w:r>
          </w:p>
        </w:tc>
      </w:tr>
      <w:tr w:rsidR="003120A3" w:rsidRPr="008F2227" w14:paraId="797EB187" w14:textId="77777777" w:rsidTr="00E217F8">
        <w:tc>
          <w:tcPr>
            <w:tcW w:w="1890" w:type="dxa"/>
          </w:tcPr>
          <w:p w14:paraId="6245FCA8" w14:textId="77777777" w:rsidR="003120A3" w:rsidRPr="008F2227" w:rsidRDefault="003120A3" w:rsidP="00E217F8">
            <w:pPr>
              <w:spacing w:line="240" w:lineRule="auto"/>
              <w:ind w:left="-108" w:firstLine="0"/>
              <w:rPr>
                <w:color w:val="7F7F7F" w:themeColor="text1" w:themeTint="80"/>
              </w:rPr>
            </w:pPr>
            <w:r w:rsidRPr="008F2227">
              <w:rPr>
                <w:b/>
                <w:color w:val="7F7F7F" w:themeColor="text1" w:themeTint="80"/>
              </w:rPr>
              <w:t>Investigator(s):</w:t>
            </w:r>
          </w:p>
        </w:tc>
        <w:tc>
          <w:tcPr>
            <w:tcW w:w="7650" w:type="dxa"/>
          </w:tcPr>
          <w:p w14:paraId="31FAB1AB" w14:textId="77777777" w:rsidR="003120A3" w:rsidRPr="008F2227" w:rsidRDefault="003120A3" w:rsidP="00E217F8">
            <w:pPr>
              <w:spacing w:line="240" w:lineRule="auto"/>
              <w:ind w:firstLine="0"/>
              <w:rPr>
                <w:color w:val="7F7F7F" w:themeColor="text1" w:themeTint="80"/>
              </w:rPr>
            </w:pPr>
            <w:r w:rsidRPr="008F2227">
              <w:rPr>
                <w:color w:val="7F7F7F" w:themeColor="text1" w:themeTint="80"/>
              </w:rPr>
              <w:t>Yasamin Sharifzadeh-Moghaddam</w:t>
            </w:r>
          </w:p>
        </w:tc>
      </w:tr>
      <w:tr w:rsidR="003120A3" w:rsidRPr="008F2227" w14:paraId="1697B46B" w14:textId="77777777" w:rsidTr="00E217F8">
        <w:trPr>
          <w:trHeight w:val="261"/>
        </w:trPr>
        <w:tc>
          <w:tcPr>
            <w:tcW w:w="1890" w:type="dxa"/>
          </w:tcPr>
          <w:p w14:paraId="0C6D8208" w14:textId="77777777" w:rsidR="003120A3" w:rsidRPr="008F2227" w:rsidRDefault="003120A3" w:rsidP="00E217F8">
            <w:pPr>
              <w:spacing w:line="240" w:lineRule="auto"/>
              <w:ind w:left="-108" w:firstLine="0"/>
              <w:rPr>
                <w:color w:val="7F7F7F" w:themeColor="text1" w:themeTint="80"/>
              </w:rPr>
            </w:pPr>
            <w:r w:rsidRPr="008F2227">
              <w:rPr>
                <w:b/>
                <w:color w:val="7F7F7F" w:themeColor="text1" w:themeTint="80"/>
              </w:rPr>
              <w:t>BCL Consultant(s):</w:t>
            </w:r>
          </w:p>
        </w:tc>
        <w:tc>
          <w:tcPr>
            <w:tcW w:w="7650" w:type="dxa"/>
          </w:tcPr>
          <w:p w14:paraId="6022154A" w14:textId="77777777" w:rsidR="003120A3" w:rsidRPr="008F2227" w:rsidRDefault="003120A3" w:rsidP="00E217F8">
            <w:pPr>
              <w:spacing w:line="240" w:lineRule="auto"/>
              <w:ind w:firstLine="0"/>
              <w:rPr>
                <w:color w:val="7F7F7F" w:themeColor="text1" w:themeTint="80"/>
              </w:rPr>
            </w:pPr>
            <w:r w:rsidRPr="008F2227">
              <w:rPr>
                <w:color w:val="7F7F7F" w:themeColor="text1" w:themeTint="80"/>
              </w:rPr>
              <w:t>Spiro Stilianoudakis</w:t>
            </w:r>
          </w:p>
        </w:tc>
      </w:tr>
      <w:tr w:rsidR="003120A3" w:rsidRPr="008F2227" w14:paraId="6F7BAA17" w14:textId="77777777" w:rsidTr="00E217F8">
        <w:tc>
          <w:tcPr>
            <w:tcW w:w="1890" w:type="dxa"/>
            <w:tcBorders>
              <w:bottom w:val="single" w:sz="4" w:space="0" w:color="7F7F7F" w:themeColor="text1" w:themeTint="80"/>
            </w:tcBorders>
          </w:tcPr>
          <w:p w14:paraId="54F11C00" w14:textId="77777777" w:rsidR="003120A3" w:rsidRPr="008F2227" w:rsidRDefault="003120A3" w:rsidP="00E217F8">
            <w:pPr>
              <w:spacing w:line="240" w:lineRule="auto"/>
              <w:ind w:left="-108" w:firstLine="0"/>
              <w:rPr>
                <w:b/>
                <w:color w:val="7F7F7F" w:themeColor="text1" w:themeTint="80"/>
              </w:rPr>
            </w:pPr>
            <w:r w:rsidRPr="008F2227">
              <w:rPr>
                <w:b/>
                <w:color w:val="7F7F7F" w:themeColor="text1" w:themeTint="80"/>
              </w:rPr>
              <w:t>Date:</w:t>
            </w:r>
          </w:p>
        </w:tc>
        <w:tc>
          <w:tcPr>
            <w:tcW w:w="7650" w:type="dxa"/>
            <w:tcBorders>
              <w:bottom w:val="single" w:sz="4" w:space="0" w:color="7F7F7F" w:themeColor="text1" w:themeTint="80"/>
            </w:tcBorders>
          </w:tcPr>
          <w:p w14:paraId="40CC0F81" w14:textId="12BE398A" w:rsidR="003120A3" w:rsidRPr="008F2227" w:rsidRDefault="003120A3" w:rsidP="00E217F8">
            <w:pPr>
              <w:spacing w:line="240" w:lineRule="auto"/>
              <w:ind w:firstLine="0"/>
              <w:rPr>
                <w:color w:val="7F7F7F" w:themeColor="text1" w:themeTint="80"/>
              </w:rPr>
            </w:pPr>
            <w:r w:rsidRPr="008F2227">
              <w:rPr>
                <w:color w:val="7F7F7F" w:themeColor="text1" w:themeTint="80"/>
              </w:rPr>
              <w:t>0</w:t>
            </w:r>
            <w:r w:rsidR="00534745">
              <w:rPr>
                <w:color w:val="7F7F7F" w:themeColor="text1" w:themeTint="80"/>
              </w:rPr>
              <w:t>1</w:t>
            </w:r>
            <w:r w:rsidRPr="008F2227">
              <w:rPr>
                <w:color w:val="7F7F7F" w:themeColor="text1" w:themeTint="80"/>
              </w:rPr>
              <w:t>/</w:t>
            </w:r>
            <w:r w:rsidR="00534745">
              <w:rPr>
                <w:color w:val="7F7F7F" w:themeColor="text1" w:themeTint="80"/>
              </w:rPr>
              <w:t>26</w:t>
            </w:r>
            <w:r w:rsidRPr="008F2227">
              <w:rPr>
                <w:color w:val="7F7F7F" w:themeColor="text1" w:themeTint="80"/>
              </w:rPr>
              <w:t>/2017</w:t>
            </w:r>
          </w:p>
        </w:tc>
      </w:tr>
    </w:tbl>
    <w:p w14:paraId="76393993" w14:textId="77777777" w:rsidR="003120A3" w:rsidRPr="008F2227" w:rsidRDefault="003120A3" w:rsidP="003120A3">
      <w:pPr>
        <w:pStyle w:val="Heading2"/>
      </w:pPr>
    </w:p>
    <w:p w14:paraId="0C62BB1C" w14:textId="77777777" w:rsidR="003120A3" w:rsidRPr="008F2227" w:rsidRDefault="003120A3" w:rsidP="003120A3">
      <w:pPr>
        <w:pStyle w:val="Heading2"/>
        <w:rPr>
          <w:rFonts w:cstheme="majorHAnsi"/>
          <w:szCs w:val="22"/>
        </w:rPr>
      </w:pPr>
    </w:p>
    <w:p w14:paraId="42B0DAA4" w14:textId="77777777" w:rsidR="003120A3" w:rsidRPr="008F2227" w:rsidRDefault="003120A3" w:rsidP="003120A3">
      <w:pPr>
        <w:pStyle w:val="Heading2"/>
      </w:pPr>
      <w:r w:rsidRPr="008F2227">
        <w:t>Introduction</w:t>
      </w:r>
    </w:p>
    <w:p w14:paraId="15C0ABA2" w14:textId="39E83BE5" w:rsidR="003120A3" w:rsidRPr="008F2227" w:rsidRDefault="003120A3" w:rsidP="00317211">
      <w:pPr>
        <w:spacing w:line="480" w:lineRule="auto"/>
        <w:jc w:val="left"/>
      </w:pPr>
      <w:r w:rsidRPr="008F2227">
        <w:t>From the time of diagnosis, a variety of treatment modalities, including radiation therapy, are employed</w:t>
      </w:r>
      <w:r w:rsidR="00BC0844">
        <w:t xml:space="preserve"> to patients diagnosed with intracranial malignancies</w:t>
      </w:r>
      <w:r w:rsidRPr="008F2227">
        <w:t xml:space="preserve"> with the hopes of controlling disease and prolonging life. However, unwanted side effects of therapy can significantly impact patients’ quality of life (QoL) and their uncertainty toward the future. Understanding </w:t>
      </w:r>
      <w:r w:rsidR="00B23EBD">
        <w:t xml:space="preserve">QoL </w:t>
      </w:r>
      <w:r w:rsidRPr="008F2227">
        <w:t xml:space="preserve">and patient uncertainty in clinical oncology is an important endeavor, and a variety of methods have been employed to characterize each. </w:t>
      </w:r>
      <w:r w:rsidR="005C3700">
        <w:t xml:space="preserve"> </w:t>
      </w:r>
      <w:r w:rsidRPr="008F2227">
        <w:t xml:space="preserve">A factor affecting each of these metrics is a patient’s age. </w:t>
      </w:r>
      <w:r w:rsidR="00D06FC4">
        <w:t>We hypothesize</w:t>
      </w:r>
      <w:r w:rsidRPr="008F2227">
        <w:t xml:space="preserve"> that older patients are more likely to be at peace with their diagnosis and subsequent treatment, and thus will have lower uncertainty and higher </w:t>
      </w:r>
      <w:r w:rsidR="00B23EBD">
        <w:t xml:space="preserve">QoL </w:t>
      </w:r>
      <w:r w:rsidRPr="008F2227">
        <w:t xml:space="preserve">scores. Therefore, we aim to investigate the relationship of age on </w:t>
      </w:r>
      <w:r w:rsidR="00B23EBD">
        <w:t>QoL</w:t>
      </w:r>
      <w:r w:rsidRPr="008F2227">
        <w:t xml:space="preserve"> and uncertainty for patients with intracranial malignancies and determine if </w:t>
      </w:r>
      <w:r w:rsidR="00B23EBD">
        <w:t>these</w:t>
      </w:r>
      <w:r w:rsidRPr="008F2227">
        <w:t xml:space="preserve"> relationship</w:t>
      </w:r>
      <w:r w:rsidR="00B23EBD">
        <w:t>s</w:t>
      </w:r>
      <w:r w:rsidRPr="008F2227">
        <w:t xml:space="preserve"> changes with time. </w:t>
      </w:r>
    </w:p>
    <w:p w14:paraId="1B852877" w14:textId="77777777" w:rsidR="003120A3" w:rsidRPr="008F2227" w:rsidRDefault="003120A3" w:rsidP="00B23EBD">
      <w:pPr>
        <w:pStyle w:val="Heading2"/>
      </w:pPr>
      <w:r w:rsidRPr="008F2227">
        <w:t>Methods</w:t>
      </w:r>
    </w:p>
    <w:p w14:paraId="5E6E2310" w14:textId="77777777" w:rsidR="003120A3" w:rsidRPr="00A10FC1" w:rsidRDefault="003120A3" w:rsidP="00B23EBD">
      <w:pPr>
        <w:jc w:val="left"/>
        <w:rPr>
          <w:b/>
          <w:color w:val="7F7F7F" w:themeColor="text1" w:themeTint="80"/>
        </w:rPr>
      </w:pPr>
      <w:r w:rsidRPr="00A10FC1">
        <w:rPr>
          <w:b/>
          <w:color w:val="7F7F7F" w:themeColor="text1" w:themeTint="80"/>
        </w:rPr>
        <w:t>Patient Population</w:t>
      </w:r>
    </w:p>
    <w:p w14:paraId="424401BE" w14:textId="7B53066A" w:rsidR="003120A3" w:rsidRDefault="003120A3" w:rsidP="00317211">
      <w:pPr>
        <w:spacing w:line="480" w:lineRule="auto"/>
        <w:jc w:val="left"/>
      </w:pPr>
      <w:r w:rsidRPr="008F2227">
        <w:t xml:space="preserve">This was a </w:t>
      </w:r>
      <w:r w:rsidR="00D06FC4">
        <w:t>prospective</w:t>
      </w:r>
      <w:r w:rsidRPr="008F2227">
        <w:t xml:space="preserve"> longitudinal study consisting of patients who were recruited through the UCSD Department of Radiation Oncology and scheduled to undergo radiation treatment as part of the standard of care for intracranial malignancies. These malignancies included cerebral metastases, high- or low-grade gliomas, meningiomas, pituitary adenomas, vestibular schwannomas, etc. Patients were </w:t>
      </w:r>
      <w:r w:rsidRPr="008F2227">
        <w:lastRenderedPageBreak/>
        <w:t xml:space="preserve">offered the opportunity to participate at the initial radiation oncology consultation. After consent was obtained, patients completed a combined </w:t>
      </w:r>
      <w:r w:rsidR="00A77E96" w:rsidRPr="008F2227">
        <w:t>questionnaire</w:t>
      </w:r>
      <w:r w:rsidRPr="008F2227">
        <w:t xml:space="preserve"> (generated from the EORTC QLQ-C15-PAL, BN-20 module, and limited additional items) prior to receipt of radiation therapy in the clinic. Following the completion of radiation therapy, patients were again asked to complete the questionnaire at each follow up visit, which was to be at 1, 3, and 6-month</w:t>
      </w:r>
      <w:r w:rsidR="00B23EBD">
        <w:t>s</w:t>
      </w:r>
      <w:r w:rsidRPr="008F2227">
        <w:t xml:space="preserve"> post-treatment. </w:t>
      </w:r>
      <w:r w:rsidR="00D06FC4">
        <w:t>After</w:t>
      </w:r>
      <w:r w:rsidRPr="008F2227">
        <w:t xml:space="preserve"> the initial baseline completion, patients </w:t>
      </w:r>
      <w:proofErr w:type="gramStart"/>
      <w:r w:rsidRPr="008F2227">
        <w:t>were allowed to</w:t>
      </w:r>
      <w:proofErr w:type="gramEnd"/>
      <w:r w:rsidRPr="008F2227">
        <w:t xml:space="preserve"> complete the </w:t>
      </w:r>
      <w:r w:rsidR="00A77E96" w:rsidRPr="008F2227">
        <w:t>questionnaire</w:t>
      </w:r>
      <w:r w:rsidRPr="008F2227">
        <w:t xml:space="preserve"> either at home or at the clinic.</w:t>
      </w:r>
    </w:p>
    <w:p w14:paraId="4603A333" w14:textId="6A3A155B" w:rsidR="00BE24AD" w:rsidRPr="008F2227" w:rsidRDefault="00BE24AD" w:rsidP="00317211">
      <w:pPr>
        <w:spacing w:line="480" w:lineRule="auto"/>
        <w:jc w:val="left"/>
      </w:pPr>
      <w:r w:rsidRPr="008F2227">
        <w:t xml:space="preserve">The inclusion criteria of the study included: age </w:t>
      </w:r>
      <m:oMath>
        <m:r>
          <w:rPr>
            <w:rFonts w:ascii="Cambria Math" w:hAnsi="Cambria Math"/>
          </w:rPr>
          <m:t>&gt;</m:t>
        </m:r>
      </m:oMath>
      <w:r w:rsidRPr="008F2227">
        <w:t xml:space="preserve"> 18</w:t>
      </w:r>
      <w:r w:rsidR="00B23EBD">
        <w:t xml:space="preserve"> years</w:t>
      </w:r>
      <w:r w:rsidRPr="008F2227">
        <w:t xml:space="preserve">, life expectancy </w:t>
      </w:r>
      <m:oMath>
        <m:r>
          <w:rPr>
            <w:rFonts w:ascii="Cambria Math" w:hAnsi="Cambria Math"/>
          </w:rPr>
          <m:t>&gt;</m:t>
        </m:r>
      </m:oMath>
      <w:r w:rsidRPr="008F2227">
        <w:t xml:space="preserve"> 3 months, ECOG performance status </w:t>
      </w:r>
      <m:oMath>
        <m:r>
          <w:rPr>
            <w:rFonts w:ascii="Cambria Math" w:hAnsi="Cambria Math"/>
          </w:rPr>
          <m:t>≤</m:t>
        </m:r>
      </m:oMath>
      <w:r w:rsidRPr="008F2227">
        <w:t xml:space="preserve"> 3 or Karnofsky performance status </w:t>
      </w:r>
      <m:oMath>
        <m:r>
          <w:rPr>
            <w:rFonts w:ascii="Cambria Math" w:hAnsi="Cambria Math"/>
          </w:rPr>
          <m:t>&gt;</m:t>
        </m:r>
      </m:oMath>
      <w:r w:rsidRPr="008F2227">
        <w:t xml:space="preserve"> 50, and a plan on the patient's part to receive intracranial radiation therapy. All patients had to be fluent in either English or Spanish to participate. Patients were not excluded </w:t>
      </w:r>
      <w:proofErr w:type="gramStart"/>
      <w:r w:rsidRPr="008F2227">
        <w:t>on the basis of</w:t>
      </w:r>
      <w:proofErr w:type="gramEnd"/>
      <w:r w:rsidRPr="008F2227">
        <w:t xml:space="preserve"> gender or ethnicity. If patients were determined to have mental capacity to answer questions, but did not have the capacity to write, they </w:t>
      </w:r>
      <w:proofErr w:type="gramStart"/>
      <w:r w:rsidRPr="008F2227">
        <w:t>were allowed to</w:t>
      </w:r>
      <w:proofErr w:type="gramEnd"/>
      <w:r w:rsidRPr="008F2227">
        <w:t xml:space="preserve"> designate a proxy to transcribe their responses.</w:t>
      </w:r>
    </w:p>
    <w:p w14:paraId="1498B8D1" w14:textId="7F9C6BD3" w:rsidR="003120A3" w:rsidRPr="008F2227" w:rsidRDefault="003120A3" w:rsidP="00317211">
      <w:pPr>
        <w:spacing w:line="480" w:lineRule="auto"/>
        <w:jc w:val="left"/>
      </w:pPr>
      <w:r w:rsidRPr="008F2227">
        <w:t>Quality of Life was initially assessed by patient response to 1 of the questions on the questionnaire. The question was on a 1 to 7 scale</w:t>
      </w:r>
      <w:r w:rsidR="00D06FC4">
        <w:t xml:space="preserve">. </w:t>
      </w:r>
      <w:r w:rsidRPr="008F2227">
        <w:t>Uncertainty was calculated using 4 separate questions, each on a 1 to 4 scale. Each of these metrics were then transformed into a 0-100 scale. In addition to obtaining data from patient questionnaires, patient age, Karnofsky Performance Scale (KPS) Index, gender, whether the patient had prior resection, and if it was deemed that the patient had been responding to treatment were also obtained.</w:t>
      </w:r>
    </w:p>
    <w:p w14:paraId="41F6E2DF" w14:textId="77777777" w:rsidR="003120A3" w:rsidRPr="00A10FC1" w:rsidRDefault="003120A3" w:rsidP="00B23EBD">
      <w:pPr>
        <w:jc w:val="left"/>
        <w:rPr>
          <w:b/>
          <w:color w:val="7F7F7F" w:themeColor="text1" w:themeTint="80"/>
        </w:rPr>
      </w:pPr>
      <w:r w:rsidRPr="00A10FC1">
        <w:rPr>
          <w:b/>
          <w:color w:val="7F7F7F" w:themeColor="text1" w:themeTint="80"/>
        </w:rPr>
        <w:t>Study Design and Analysis</w:t>
      </w:r>
    </w:p>
    <w:p w14:paraId="376A60A6" w14:textId="2784A9C0" w:rsidR="00BE24AD" w:rsidRDefault="003120A3" w:rsidP="00317211">
      <w:pPr>
        <w:spacing w:line="480" w:lineRule="auto"/>
        <w:jc w:val="left"/>
      </w:pPr>
      <w:r w:rsidRPr="008F2227">
        <w:t>Due to insufficient sample size, only baseline, 1-month, and 3-month time points were considered for the analysis.</w:t>
      </w:r>
      <w:r w:rsidR="002577D8" w:rsidRPr="008F2227">
        <w:t xml:space="preserve"> </w:t>
      </w:r>
      <w:r w:rsidRPr="008F2227">
        <w:t xml:space="preserve">Patient dropout </w:t>
      </w:r>
      <w:r w:rsidR="00A77E96" w:rsidRPr="008F2227">
        <w:t xml:space="preserve">between each of the </w:t>
      </w:r>
      <w:proofErr w:type="gramStart"/>
      <w:r w:rsidR="00A77E96" w:rsidRPr="008F2227">
        <w:t>three time</w:t>
      </w:r>
      <w:proofErr w:type="gramEnd"/>
      <w:r w:rsidR="00A77E96" w:rsidRPr="008F2227">
        <w:t xml:space="preserve"> points was evaluated</w:t>
      </w:r>
      <w:r w:rsidR="002577D8" w:rsidRPr="008F2227">
        <w:t xml:space="preserve"> and it was found that the majority of dropout </w:t>
      </w:r>
      <w:r w:rsidR="008867E4">
        <w:t>occurred</w:t>
      </w:r>
      <w:r w:rsidR="002577D8" w:rsidRPr="008F2227">
        <w:t xml:space="preserve"> between baseline to 1-month timepoints</w:t>
      </w:r>
      <w:r w:rsidR="00A77E96" w:rsidRPr="008F2227">
        <w:t xml:space="preserve">. To determine if the dropout between these two time points was random, two groups were created. One group consisted of </w:t>
      </w:r>
      <w:r w:rsidR="00A77E96" w:rsidRPr="008F2227">
        <w:lastRenderedPageBreak/>
        <w:t>patients that only had completed</w:t>
      </w:r>
      <w:r w:rsidR="009260B4">
        <w:t xml:space="preserve"> the</w:t>
      </w:r>
      <w:r w:rsidR="00A77E96" w:rsidRPr="008F2227">
        <w:t xml:space="preserve"> </w:t>
      </w:r>
      <w:r w:rsidR="00A10FC1" w:rsidRPr="008F2227">
        <w:t>questionnaire</w:t>
      </w:r>
      <w:r w:rsidR="00A77E96" w:rsidRPr="008F2227">
        <w:t xml:space="preserve"> at baseline, and the other </w:t>
      </w:r>
      <w:r w:rsidR="009260B4">
        <w:t>included</w:t>
      </w:r>
      <w:r w:rsidR="00A77E96" w:rsidRPr="008F2227">
        <w:t xml:space="preserve"> patients with any sort of </w:t>
      </w:r>
      <w:r w:rsidR="00A10FC1" w:rsidRPr="008F2227">
        <w:t>follow-up</w:t>
      </w:r>
      <w:r w:rsidR="00A77E96" w:rsidRPr="008F2227">
        <w:t xml:space="preserve"> data (either 1 month or 1 month and 3 month). </w:t>
      </w:r>
      <w:r w:rsidR="006C6D9F">
        <w:t>Student’s t-tests and</w:t>
      </w:r>
      <w:r w:rsidR="008867E4">
        <w:t xml:space="preserve"> Pearson</w:t>
      </w:r>
      <w:r w:rsidR="006C6D9F">
        <w:t xml:space="preserve"> Chi-Square tests</w:t>
      </w:r>
      <w:r w:rsidR="00BE24AD" w:rsidRPr="008F2227">
        <w:t xml:space="preserve"> </w:t>
      </w:r>
      <w:r w:rsidR="006C6D9F">
        <w:t>were</w:t>
      </w:r>
      <w:r w:rsidR="00BE24AD" w:rsidRPr="008F2227">
        <w:t xml:space="preserve"> performed on the baseline measurements of the two groups</w:t>
      </w:r>
      <w:r w:rsidR="00BE24AD">
        <w:t xml:space="preserve"> </w:t>
      </w:r>
      <w:proofErr w:type="gramStart"/>
      <w:r w:rsidR="006C6D9F" w:rsidRPr="008F2227">
        <w:t>in order to</w:t>
      </w:r>
      <w:proofErr w:type="gramEnd"/>
      <w:r w:rsidR="006C6D9F" w:rsidRPr="008F2227">
        <w:t xml:space="preserve"> evaluate if dropout from baseline to 1-month had an effect</w:t>
      </w:r>
      <w:r w:rsidR="00B23EBD">
        <w:t xml:space="preserve"> in biasing the sample</w:t>
      </w:r>
      <w:r w:rsidR="00FC2FE3">
        <w:t>.</w:t>
      </w:r>
    </w:p>
    <w:p w14:paraId="070A9FC4" w14:textId="3D394071" w:rsidR="002577D8" w:rsidRPr="008F2227" w:rsidRDefault="002577D8" w:rsidP="00317211">
      <w:pPr>
        <w:spacing w:line="480" w:lineRule="auto"/>
        <w:jc w:val="left"/>
      </w:pPr>
      <w:r w:rsidRPr="008F2227">
        <w:t>L</w:t>
      </w:r>
      <w:r w:rsidR="00FC2FE3">
        <w:t>OESS</w:t>
      </w:r>
      <w:r w:rsidRPr="008F2227">
        <w:t xml:space="preserve"> plots of age on QoL and uncertainty were performed to determine if a nonlinear relationship existed. </w:t>
      </w:r>
      <w:r w:rsidR="00B23EBD">
        <w:t>Two</w:t>
      </w:r>
      <w:r w:rsidR="00477DAD">
        <w:t xml:space="preserve"> separate</w:t>
      </w:r>
      <w:r w:rsidR="00B23EBD">
        <w:t xml:space="preserve"> mixed effects models were performed </w:t>
      </w:r>
      <w:r w:rsidR="00477DAD">
        <w:t xml:space="preserve">to predict the </w:t>
      </w:r>
      <w:r w:rsidR="00B23EBD">
        <w:t>QoL and uncertainty scores</w:t>
      </w:r>
      <w:r w:rsidR="00477DAD">
        <w:t xml:space="preserve"> using age as the sole variable</w:t>
      </w:r>
      <w:r w:rsidR="00B23EBD">
        <w:t xml:space="preserve">. Unstructured covariance structures were used for each model. </w:t>
      </w:r>
      <w:r w:rsidR="0033361D" w:rsidRPr="008F2227">
        <w:t xml:space="preserve"> All statistical analys</w:t>
      </w:r>
      <w:r w:rsidR="009260B4">
        <w:t>e</w:t>
      </w:r>
      <w:r w:rsidR="0033361D" w:rsidRPr="008F2227">
        <w:t>s w</w:t>
      </w:r>
      <w:r w:rsidR="00AC5873">
        <w:t>ere</w:t>
      </w:r>
      <w:r w:rsidR="0033361D" w:rsidRPr="008F2227">
        <w:t xml:space="preserve"> performed in R version 3.4.2 at </w:t>
      </w:r>
      <w:r w:rsidR="00AC5873">
        <w:t xml:space="preserve">a </w:t>
      </w:r>
      <w:r w:rsidR="0033361D" w:rsidRPr="008F2227">
        <w:t>significance level of 0.05.</w:t>
      </w:r>
    </w:p>
    <w:p w14:paraId="3D9FE56A" w14:textId="77777777" w:rsidR="003120A3" w:rsidRPr="008F2227" w:rsidRDefault="003120A3" w:rsidP="00B23EBD">
      <w:pPr>
        <w:pStyle w:val="Heading2"/>
      </w:pPr>
      <w:r w:rsidRPr="008F2227">
        <w:t>Results</w:t>
      </w:r>
    </w:p>
    <w:p w14:paraId="3A30EABA" w14:textId="6B92F3B6" w:rsidR="00164DF1" w:rsidRDefault="0033361D" w:rsidP="00317211">
      <w:pPr>
        <w:spacing w:line="480" w:lineRule="auto"/>
        <w:jc w:val="left"/>
      </w:pPr>
      <w:r w:rsidRPr="008F2227">
        <w:t>There were 1</w:t>
      </w:r>
      <w:r w:rsidR="0096084F">
        <w:t>07</w:t>
      </w:r>
      <w:r w:rsidRPr="008F2227">
        <w:t xml:space="preserve"> patients included in the analys</w:t>
      </w:r>
      <w:r w:rsidR="009260B4">
        <w:t>e</w:t>
      </w:r>
      <w:r w:rsidRPr="008F2227">
        <w:t>s. Table 1 presents the patients in</w:t>
      </w:r>
      <w:r w:rsidR="005C2083">
        <w:t xml:space="preserve"> two</w:t>
      </w:r>
      <w:r w:rsidRPr="008F2227">
        <w:t xml:space="preserve"> mutually exclusive groups with respect to the completion status of the </w:t>
      </w:r>
      <w:r w:rsidR="00A10FC1" w:rsidRPr="008F2227">
        <w:t>questionnaire</w:t>
      </w:r>
      <w:r w:rsidR="005C2083">
        <w:t xml:space="preserve">. </w:t>
      </w:r>
      <w:r w:rsidR="00CD197D">
        <w:t>The groups were compared across the different patient characteristics</w:t>
      </w:r>
      <w:r w:rsidR="008F2227" w:rsidRPr="008F2227">
        <w:t xml:space="preserve">. </w:t>
      </w:r>
      <w:r w:rsidR="00CD197D">
        <w:t>I</w:t>
      </w:r>
      <w:r w:rsidR="008F2227" w:rsidRPr="008F2227">
        <w:t xml:space="preserve">t was concluded that the two groups </w:t>
      </w:r>
      <w:r w:rsidR="005C2083">
        <w:t>were</w:t>
      </w:r>
      <w:r w:rsidR="008F2227" w:rsidRPr="008F2227">
        <w:t xml:space="preserve"> not different </w:t>
      </w:r>
      <w:r w:rsidR="005C2083">
        <w:t>and</w:t>
      </w:r>
      <w:r w:rsidR="00CD197D">
        <w:t>, therefore,</w:t>
      </w:r>
      <w:r w:rsidR="005C2083">
        <w:t xml:space="preserve"> any drop out was attributed to randomness</w:t>
      </w:r>
      <w:r w:rsidR="008F2227" w:rsidRPr="008F2227">
        <w:t xml:space="preserve">. </w:t>
      </w:r>
    </w:p>
    <w:p w14:paraId="70E2F573" w14:textId="339EC469" w:rsidR="00317211" w:rsidRPr="005C2083" w:rsidRDefault="00317211" w:rsidP="00317211">
      <w:pPr>
        <w:spacing w:before="240" w:after="0" w:line="240" w:lineRule="auto"/>
        <w:ind w:firstLine="0"/>
        <w:jc w:val="left"/>
      </w:pPr>
      <w:r w:rsidRPr="00DC52A2">
        <w:rPr>
          <w:b/>
        </w:rPr>
        <w:t xml:space="preserve">Table </w:t>
      </w:r>
      <w:r>
        <w:rPr>
          <w:b/>
        </w:rPr>
        <w:t>1</w:t>
      </w:r>
      <w:r w:rsidRPr="00DC52A2">
        <w:rPr>
          <w:b/>
        </w:rPr>
        <w:t>.</w:t>
      </w:r>
      <w:r w:rsidRPr="00DC52A2">
        <w:t xml:space="preserve"> Results of statistical tests used to determine if patients in one of two groups based on dropout are different across other variables.</w:t>
      </w:r>
    </w:p>
    <w:tbl>
      <w:tblPr>
        <w:tblStyle w:val="TableGrid"/>
        <w:tblpPr w:leftFromText="180" w:rightFromText="180" w:vertAnchor="text" w:tblpX="-10" w:tblpY="507"/>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800"/>
        <w:gridCol w:w="1710"/>
        <w:gridCol w:w="1800"/>
        <w:gridCol w:w="1080"/>
      </w:tblGrid>
      <w:tr w:rsidR="00477DAD" w:rsidRPr="00A472F1" w14:paraId="322FB2E3" w14:textId="77777777" w:rsidTr="006E334C">
        <w:tc>
          <w:tcPr>
            <w:tcW w:w="2970" w:type="dxa"/>
            <w:tcBorders>
              <w:top w:val="single" w:sz="4" w:space="0" w:color="auto"/>
              <w:bottom w:val="single" w:sz="4" w:space="0" w:color="auto"/>
            </w:tcBorders>
          </w:tcPr>
          <w:p w14:paraId="01A9A589" w14:textId="77777777" w:rsidR="00477DAD" w:rsidRPr="00A472F1" w:rsidRDefault="00477DAD" w:rsidP="00317211">
            <w:pPr>
              <w:spacing w:line="240" w:lineRule="auto"/>
              <w:ind w:firstLine="0"/>
              <w:jc w:val="left"/>
              <w:rPr>
                <w:b/>
              </w:rPr>
            </w:pPr>
            <w:r w:rsidRPr="00A472F1">
              <w:rPr>
                <w:b/>
              </w:rPr>
              <w:t>Variable</w:t>
            </w:r>
          </w:p>
        </w:tc>
        <w:tc>
          <w:tcPr>
            <w:tcW w:w="1800" w:type="dxa"/>
            <w:tcBorders>
              <w:top w:val="single" w:sz="4" w:space="0" w:color="auto"/>
              <w:bottom w:val="single" w:sz="4" w:space="0" w:color="auto"/>
            </w:tcBorders>
          </w:tcPr>
          <w:p w14:paraId="0319BAA7" w14:textId="22CD0656" w:rsidR="00477DAD" w:rsidRPr="00A472F1" w:rsidRDefault="00477DAD" w:rsidP="00317211">
            <w:pPr>
              <w:spacing w:line="240" w:lineRule="auto"/>
              <w:ind w:firstLine="0"/>
              <w:jc w:val="left"/>
              <w:rPr>
                <w:b/>
              </w:rPr>
            </w:pPr>
            <w:r>
              <w:rPr>
                <w:b/>
              </w:rPr>
              <w:t>Total (n=1</w:t>
            </w:r>
            <w:r w:rsidR="0096084F">
              <w:rPr>
                <w:b/>
              </w:rPr>
              <w:t>07</w:t>
            </w:r>
            <w:r>
              <w:rPr>
                <w:b/>
              </w:rPr>
              <w:t>)</w:t>
            </w:r>
          </w:p>
        </w:tc>
        <w:tc>
          <w:tcPr>
            <w:tcW w:w="1710" w:type="dxa"/>
            <w:tcBorders>
              <w:top w:val="single" w:sz="4" w:space="0" w:color="auto"/>
              <w:bottom w:val="single" w:sz="4" w:space="0" w:color="auto"/>
            </w:tcBorders>
          </w:tcPr>
          <w:p w14:paraId="64402294" w14:textId="5DF0C70F" w:rsidR="00477DAD" w:rsidRPr="00A472F1" w:rsidRDefault="00477DAD" w:rsidP="00317211">
            <w:pPr>
              <w:spacing w:line="240" w:lineRule="auto"/>
              <w:ind w:firstLine="0"/>
              <w:jc w:val="left"/>
              <w:rPr>
                <w:b/>
              </w:rPr>
            </w:pPr>
            <w:r w:rsidRPr="00A472F1">
              <w:rPr>
                <w:b/>
              </w:rPr>
              <w:t xml:space="preserve">Baseline Only </w:t>
            </w:r>
            <w:r>
              <w:rPr>
                <w:b/>
              </w:rPr>
              <w:t xml:space="preserve">  </w:t>
            </w:r>
            <w:proofErr w:type="gramStart"/>
            <w:r>
              <w:rPr>
                <w:b/>
              </w:rPr>
              <w:t xml:space="preserve">   </w:t>
            </w:r>
            <w:r w:rsidRPr="00A472F1">
              <w:rPr>
                <w:b/>
              </w:rPr>
              <w:t>(</w:t>
            </w:r>
            <w:proofErr w:type="gramEnd"/>
            <w:r w:rsidRPr="00A472F1">
              <w:rPr>
                <w:b/>
              </w:rPr>
              <w:t xml:space="preserve">n = </w:t>
            </w:r>
            <w:r w:rsidR="0096084F">
              <w:rPr>
                <w:b/>
              </w:rPr>
              <w:t>48</w:t>
            </w:r>
            <w:r w:rsidRPr="00A472F1">
              <w:rPr>
                <w:b/>
              </w:rPr>
              <w:t>)</w:t>
            </w:r>
          </w:p>
        </w:tc>
        <w:tc>
          <w:tcPr>
            <w:tcW w:w="1800" w:type="dxa"/>
            <w:tcBorders>
              <w:top w:val="single" w:sz="4" w:space="0" w:color="auto"/>
              <w:bottom w:val="single" w:sz="4" w:space="0" w:color="auto"/>
            </w:tcBorders>
          </w:tcPr>
          <w:p w14:paraId="0B7B6F3F" w14:textId="2D4A2438" w:rsidR="00477DAD" w:rsidRPr="00A472F1" w:rsidRDefault="00477DAD" w:rsidP="00317211">
            <w:pPr>
              <w:spacing w:line="240" w:lineRule="auto"/>
              <w:ind w:firstLine="0"/>
              <w:jc w:val="left"/>
              <w:rPr>
                <w:b/>
              </w:rPr>
            </w:pPr>
            <w:r w:rsidRPr="00A472F1">
              <w:rPr>
                <w:b/>
              </w:rPr>
              <w:t xml:space="preserve">Any Follow-Up </w:t>
            </w:r>
            <w:proofErr w:type="gramStart"/>
            <w:r>
              <w:rPr>
                <w:b/>
              </w:rPr>
              <w:t xml:space="preserve">   </w:t>
            </w:r>
            <w:r w:rsidRPr="00A472F1">
              <w:rPr>
                <w:b/>
              </w:rPr>
              <w:t>(</w:t>
            </w:r>
            <w:proofErr w:type="gramEnd"/>
            <w:r w:rsidRPr="00A472F1">
              <w:rPr>
                <w:b/>
              </w:rPr>
              <w:t xml:space="preserve">n = </w:t>
            </w:r>
            <w:r w:rsidR="0096084F">
              <w:rPr>
                <w:b/>
              </w:rPr>
              <w:t>59</w:t>
            </w:r>
            <w:r w:rsidRPr="00A472F1">
              <w:rPr>
                <w:b/>
              </w:rPr>
              <w:t>)</w:t>
            </w:r>
          </w:p>
        </w:tc>
        <w:tc>
          <w:tcPr>
            <w:tcW w:w="1080" w:type="dxa"/>
            <w:tcBorders>
              <w:top w:val="single" w:sz="4" w:space="0" w:color="auto"/>
              <w:bottom w:val="single" w:sz="4" w:space="0" w:color="auto"/>
            </w:tcBorders>
          </w:tcPr>
          <w:p w14:paraId="19677CE9" w14:textId="77777777" w:rsidR="00477DAD" w:rsidRPr="00A472F1" w:rsidRDefault="00477DAD" w:rsidP="00317211">
            <w:pPr>
              <w:spacing w:line="240" w:lineRule="auto"/>
              <w:ind w:firstLine="0"/>
              <w:jc w:val="left"/>
              <w:rPr>
                <w:b/>
              </w:rPr>
            </w:pPr>
            <w:r w:rsidRPr="00A472F1">
              <w:rPr>
                <w:b/>
              </w:rPr>
              <w:t>P-Value</w:t>
            </w:r>
          </w:p>
        </w:tc>
      </w:tr>
      <w:tr w:rsidR="00477DAD" w:rsidRPr="00A472F1" w14:paraId="47C69F8A" w14:textId="77777777" w:rsidTr="006E334C">
        <w:tc>
          <w:tcPr>
            <w:tcW w:w="2970" w:type="dxa"/>
            <w:tcBorders>
              <w:top w:val="single" w:sz="4" w:space="0" w:color="auto"/>
              <w:bottom w:val="single" w:sz="4" w:space="0" w:color="auto"/>
            </w:tcBorders>
          </w:tcPr>
          <w:p w14:paraId="6AEE89CD" w14:textId="77777777" w:rsidR="00477DAD" w:rsidRPr="00A472F1" w:rsidRDefault="00477DAD" w:rsidP="00B23EBD">
            <w:pPr>
              <w:spacing w:line="240" w:lineRule="auto"/>
              <w:ind w:firstLine="0"/>
              <w:jc w:val="left"/>
              <w:rPr>
                <w:b/>
              </w:rPr>
            </w:pPr>
            <w:r w:rsidRPr="00A472F1">
              <w:rPr>
                <w:b/>
              </w:rPr>
              <w:t>QoL Score (</w:t>
            </w:r>
            <w:proofErr w:type="spellStart"/>
            <w:r w:rsidRPr="00A472F1">
              <w:rPr>
                <w:b/>
              </w:rPr>
              <w:t>sd</w:t>
            </w:r>
            <w:proofErr w:type="spellEnd"/>
            <w:r w:rsidRPr="00A472F1">
              <w:rPr>
                <w:b/>
              </w:rPr>
              <w:t>)</w:t>
            </w:r>
          </w:p>
        </w:tc>
        <w:tc>
          <w:tcPr>
            <w:tcW w:w="1800" w:type="dxa"/>
            <w:tcBorders>
              <w:top w:val="single" w:sz="4" w:space="0" w:color="auto"/>
              <w:bottom w:val="single" w:sz="4" w:space="0" w:color="auto"/>
            </w:tcBorders>
          </w:tcPr>
          <w:p w14:paraId="45805243" w14:textId="66AFC3AF" w:rsidR="00477DAD" w:rsidRPr="00A472F1" w:rsidRDefault="00477DAD" w:rsidP="00B23EBD">
            <w:pPr>
              <w:spacing w:line="240" w:lineRule="auto"/>
              <w:ind w:firstLine="0"/>
              <w:jc w:val="left"/>
            </w:pPr>
            <w:r>
              <w:t>60.</w:t>
            </w:r>
            <w:r w:rsidR="0096084F">
              <w:t>0</w:t>
            </w:r>
            <w:r w:rsidR="00165DD6">
              <w:t xml:space="preserve"> (23.</w:t>
            </w:r>
            <w:r w:rsidR="0096084F">
              <w:t>3</w:t>
            </w:r>
            <w:r w:rsidR="00165DD6">
              <w:t>)</w:t>
            </w:r>
          </w:p>
        </w:tc>
        <w:tc>
          <w:tcPr>
            <w:tcW w:w="1710" w:type="dxa"/>
            <w:tcBorders>
              <w:top w:val="single" w:sz="4" w:space="0" w:color="auto"/>
              <w:bottom w:val="single" w:sz="4" w:space="0" w:color="auto"/>
            </w:tcBorders>
          </w:tcPr>
          <w:p w14:paraId="5C29676B" w14:textId="5271FCF5" w:rsidR="00477DAD" w:rsidRPr="00A472F1" w:rsidRDefault="006E334C" w:rsidP="00B23EBD">
            <w:pPr>
              <w:spacing w:line="240" w:lineRule="auto"/>
              <w:ind w:firstLine="0"/>
              <w:jc w:val="left"/>
            </w:pPr>
            <w:r>
              <w:t xml:space="preserve">57.1 </w:t>
            </w:r>
            <w:r w:rsidR="00477DAD" w:rsidRPr="00A472F1">
              <w:t>(2</w:t>
            </w:r>
            <w:r w:rsidR="00034AA1">
              <w:t>4.2</w:t>
            </w:r>
            <w:r w:rsidR="00477DAD" w:rsidRPr="00A472F1">
              <w:t>)</w:t>
            </w:r>
          </w:p>
        </w:tc>
        <w:tc>
          <w:tcPr>
            <w:tcW w:w="1800" w:type="dxa"/>
            <w:tcBorders>
              <w:top w:val="single" w:sz="4" w:space="0" w:color="auto"/>
              <w:bottom w:val="single" w:sz="4" w:space="0" w:color="auto"/>
            </w:tcBorders>
          </w:tcPr>
          <w:p w14:paraId="3B716E14" w14:textId="338E084B" w:rsidR="00477DAD" w:rsidRPr="00A472F1" w:rsidRDefault="00477DAD" w:rsidP="00B23EBD">
            <w:pPr>
              <w:spacing w:line="240" w:lineRule="auto"/>
              <w:ind w:firstLine="0"/>
              <w:jc w:val="left"/>
            </w:pPr>
            <w:r w:rsidRPr="00A472F1">
              <w:t>6</w:t>
            </w:r>
            <w:r w:rsidR="006E334C">
              <w:t>2.1</w:t>
            </w:r>
            <w:r w:rsidRPr="00A472F1">
              <w:t xml:space="preserve"> (2</w:t>
            </w:r>
            <w:r w:rsidR="00034AA1">
              <w:t>2.5</w:t>
            </w:r>
            <w:r w:rsidRPr="00A472F1">
              <w:t>)</w:t>
            </w:r>
          </w:p>
        </w:tc>
        <w:tc>
          <w:tcPr>
            <w:tcW w:w="1080" w:type="dxa"/>
            <w:tcBorders>
              <w:top w:val="single" w:sz="4" w:space="0" w:color="auto"/>
              <w:bottom w:val="single" w:sz="4" w:space="0" w:color="auto"/>
            </w:tcBorders>
          </w:tcPr>
          <w:p w14:paraId="0998D8ED" w14:textId="29F65F3A" w:rsidR="00477DAD" w:rsidRPr="00A472F1" w:rsidRDefault="00477DAD" w:rsidP="00B23EBD">
            <w:pPr>
              <w:spacing w:line="240" w:lineRule="auto"/>
              <w:ind w:firstLine="0"/>
              <w:jc w:val="left"/>
            </w:pPr>
            <w:r w:rsidRPr="00A472F1">
              <w:t>0.</w:t>
            </w:r>
            <w:r w:rsidR="006E334C">
              <w:t>273</w:t>
            </w:r>
          </w:p>
        </w:tc>
      </w:tr>
      <w:tr w:rsidR="00477DAD" w:rsidRPr="00A472F1" w14:paraId="5CAA861D" w14:textId="77777777" w:rsidTr="006E334C">
        <w:tc>
          <w:tcPr>
            <w:tcW w:w="2970" w:type="dxa"/>
            <w:tcBorders>
              <w:top w:val="single" w:sz="4" w:space="0" w:color="auto"/>
              <w:bottom w:val="single" w:sz="4" w:space="0" w:color="auto"/>
            </w:tcBorders>
          </w:tcPr>
          <w:p w14:paraId="29E347C0" w14:textId="77777777" w:rsidR="00477DAD" w:rsidRPr="00A472F1" w:rsidRDefault="00477DAD" w:rsidP="00B23EBD">
            <w:pPr>
              <w:spacing w:line="240" w:lineRule="auto"/>
              <w:ind w:firstLine="0"/>
              <w:jc w:val="left"/>
              <w:rPr>
                <w:b/>
              </w:rPr>
            </w:pPr>
            <w:r w:rsidRPr="00A472F1">
              <w:rPr>
                <w:b/>
              </w:rPr>
              <w:t>Uncertainty Score (</w:t>
            </w:r>
            <w:proofErr w:type="spellStart"/>
            <w:r w:rsidRPr="00A472F1">
              <w:rPr>
                <w:b/>
              </w:rPr>
              <w:t>sd</w:t>
            </w:r>
            <w:proofErr w:type="spellEnd"/>
            <w:r w:rsidRPr="00A472F1">
              <w:rPr>
                <w:b/>
              </w:rPr>
              <w:t>)</w:t>
            </w:r>
          </w:p>
        </w:tc>
        <w:tc>
          <w:tcPr>
            <w:tcW w:w="1800" w:type="dxa"/>
            <w:tcBorders>
              <w:top w:val="single" w:sz="4" w:space="0" w:color="auto"/>
              <w:bottom w:val="single" w:sz="4" w:space="0" w:color="auto"/>
            </w:tcBorders>
          </w:tcPr>
          <w:p w14:paraId="53EB575B" w14:textId="264E8CD2" w:rsidR="00477DAD" w:rsidRPr="00A472F1" w:rsidRDefault="00165DD6" w:rsidP="00B23EBD">
            <w:pPr>
              <w:spacing w:line="240" w:lineRule="auto"/>
              <w:ind w:firstLine="0"/>
              <w:jc w:val="left"/>
            </w:pPr>
            <w:r>
              <w:t>3</w:t>
            </w:r>
            <w:r w:rsidR="0096084F">
              <w:t>7.8</w:t>
            </w:r>
            <w:r>
              <w:t xml:space="preserve"> (26.7)</w:t>
            </w:r>
          </w:p>
        </w:tc>
        <w:tc>
          <w:tcPr>
            <w:tcW w:w="1710" w:type="dxa"/>
            <w:tcBorders>
              <w:top w:val="single" w:sz="4" w:space="0" w:color="auto"/>
              <w:bottom w:val="single" w:sz="4" w:space="0" w:color="auto"/>
            </w:tcBorders>
          </w:tcPr>
          <w:p w14:paraId="0F4469B1" w14:textId="6D470C2E" w:rsidR="00477DAD" w:rsidRPr="00A472F1" w:rsidRDefault="00477DAD" w:rsidP="00B23EBD">
            <w:pPr>
              <w:spacing w:line="240" w:lineRule="auto"/>
              <w:ind w:firstLine="0"/>
              <w:jc w:val="left"/>
            </w:pPr>
            <w:r w:rsidRPr="00A472F1">
              <w:t>3</w:t>
            </w:r>
            <w:r w:rsidR="006E334C">
              <w:t>3.3</w:t>
            </w:r>
            <w:r w:rsidRPr="00A472F1">
              <w:t xml:space="preserve"> (2</w:t>
            </w:r>
            <w:r w:rsidR="00034AA1">
              <w:t>4.4</w:t>
            </w:r>
            <w:r w:rsidRPr="00A472F1">
              <w:t>)</w:t>
            </w:r>
          </w:p>
        </w:tc>
        <w:tc>
          <w:tcPr>
            <w:tcW w:w="1800" w:type="dxa"/>
            <w:tcBorders>
              <w:top w:val="single" w:sz="4" w:space="0" w:color="auto"/>
              <w:bottom w:val="single" w:sz="4" w:space="0" w:color="auto"/>
            </w:tcBorders>
          </w:tcPr>
          <w:p w14:paraId="4E977614" w14:textId="76B5F1AB" w:rsidR="00477DAD" w:rsidRPr="00A472F1" w:rsidRDefault="00477DAD" w:rsidP="00B23EBD">
            <w:pPr>
              <w:spacing w:line="240" w:lineRule="auto"/>
              <w:ind w:firstLine="0"/>
              <w:jc w:val="left"/>
            </w:pPr>
            <w:r w:rsidRPr="00A472F1">
              <w:t>41.</w:t>
            </w:r>
            <w:r w:rsidR="006E334C">
              <w:t>4</w:t>
            </w:r>
            <w:r w:rsidRPr="00A472F1">
              <w:t xml:space="preserve"> (2</w:t>
            </w:r>
            <w:r w:rsidR="00034AA1">
              <w:t>8.2</w:t>
            </w:r>
            <w:r w:rsidRPr="00A472F1">
              <w:t>)</w:t>
            </w:r>
          </w:p>
        </w:tc>
        <w:tc>
          <w:tcPr>
            <w:tcW w:w="1080" w:type="dxa"/>
            <w:tcBorders>
              <w:top w:val="single" w:sz="4" w:space="0" w:color="auto"/>
              <w:bottom w:val="single" w:sz="4" w:space="0" w:color="auto"/>
            </w:tcBorders>
          </w:tcPr>
          <w:p w14:paraId="2399C1BF" w14:textId="21EFB9B9" w:rsidR="00477DAD" w:rsidRPr="00A472F1" w:rsidRDefault="00477DAD" w:rsidP="00B23EBD">
            <w:pPr>
              <w:spacing w:line="240" w:lineRule="auto"/>
              <w:ind w:firstLine="0"/>
              <w:jc w:val="left"/>
            </w:pPr>
            <w:r w:rsidRPr="00A472F1">
              <w:t>0.</w:t>
            </w:r>
            <w:r w:rsidR="006E334C">
              <w:t>117</w:t>
            </w:r>
          </w:p>
        </w:tc>
      </w:tr>
      <w:tr w:rsidR="00477DAD" w:rsidRPr="00A472F1" w14:paraId="75256FD0" w14:textId="77777777" w:rsidTr="006E334C">
        <w:tc>
          <w:tcPr>
            <w:tcW w:w="2970" w:type="dxa"/>
            <w:tcBorders>
              <w:top w:val="single" w:sz="4" w:space="0" w:color="auto"/>
              <w:bottom w:val="single" w:sz="4" w:space="0" w:color="auto"/>
            </w:tcBorders>
          </w:tcPr>
          <w:p w14:paraId="14E7FC8D" w14:textId="77777777" w:rsidR="00477DAD" w:rsidRPr="00A472F1" w:rsidRDefault="00477DAD" w:rsidP="00B23EBD">
            <w:pPr>
              <w:spacing w:line="240" w:lineRule="auto"/>
              <w:ind w:firstLine="0"/>
              <w:jc w:val="left"/>
              <w:rPr>
                <w:b/>
              </w:rPr>
            </w:pPr>
            <w:r w:rsidRPr="00A472F1">
              <w:rPr>
                <w:b/>
              </w:rPr>
              <w:t>Age (</w:t>
            </w:r>
            <w:proofErr w:type="spellStart"/>
            <w:r w:rsidRPr="00A472F1">
              <w:rPr>
                <w:b/>
              </w:rPr>
              <w:t>sd</w:t>
            </w:r>
            <w:proofErr w:type="spellEnd"/>
            <w:r w:rsidRPr="00A472F1">
              <w:rPr>
                <w:b/>
              </w:rPr>
              <w:t>)</w:t>
            </w:r>
          </w:p>
        </w:tc>
        <w:tc>
          <w:tcPr>
            <w:tcW w:w="1800" w:type="dxa"/>
            <w:tcBorders>
              <w:top w:val="single" w:sz="4" w:space="0" w:color="auto"/>
              <w:bottom w:val="single" w:sz="4" w:space="0" w:color="auto"/>
            </w:tcBorders>
          </w:tcPr>
          <w:p w14:paraId="6CB1B5D0" w14:textId="13373B79" w:rsidR="00477DAD" w:rsidRPr="00A472F1" w:rsidRDefault="00165DD6" w:rsidP="00B23EBD">
            <w:pPr>
              <w:spacing w:line="240" w:lineRule="auto"/>
              <w:ind w:firstLine="0"/>
              <w:jc w:val="left"/>
            </w:pPr>
            <w:r>
              <w:t>56.</w:t>
            </w:r>
            <w:r w:rsidR="0096084F">
              <w:t>9</w:t>
            </w:r>
            <w:r>
              <w:t xml:space="preserve"> (1</w:t>
            </w:r>
            <w:r w:rsidR="0096084F">
              <w:t>4.5</w:t>
            </w:r>
            <w:r>
              <w:t>)</w:t>
            </w:r>
          </w:p>
        </w:tc>
        <w:tc>
          <w:tcPr>
            <w:tcW w:w="1710" w:type="dxa"/>
            <w:tcBorders>
              <w:top w:val="single" w:sz="4" w:space="0" w:color="auto"/>
              <w:bottom w:val="single" w:sz="4" w:space="0" w:color="auto"/>
            </w:tcBorders>
          </w:tcPr>
          <w:p w14:paraId="22D063EC" w14:textId="0B1E7586" w:rsidR="00477DAD" w:rsidRPr="00A472F1" w:rsidRDefault="00477DAD" w:rsidP="00B23EBD">
            <w:pPr>
              <w:spacing w:line="240" w:lineRule="auto"/>
              <w:ind w:firstLine="0"/>
              <w:jc w:val="left"/>
            </w:pPr>
            <w:r w:rsidRPr="00A472F1">
              <w:t>57.</w:t>
            </w:r>
            <w:r w:rsidR="006E334C">
              <w:t>7</w:t>
            </w:r>
            <w:r w:rsidRPr="00A472F1">
              <w:t xml:space="preserve"> (13.</w:t>
            </w:r>
            <w:r w:rsidR="00034AA1">
              <w:t>6</w:t>
            </w:r>
            <w:r w:rsidRPr="00A472F1">
              <w:t>)</w:t>
            </w:r>
          </w:p>
        </w:tc>
        <w:tc>
          <w:tcPr>
            <w:tcW w:w="1800" w:type="dxa"/>
            <w:tcBorders>
              <w:top w:val="single" w:sz="4" w:space="0" w:color="auto"/>
              <w:bottom w:val="single" w:sz="4" w:space="0" w:color="auto"/>
            </w:tcBorders>
          </w:tcPr>
          <w:p w14:paraId="2F961F24" w14:textId="6E5C340F" w:rsidR="00477DAD" w:rsidRPr="00A472F1" w:rsidRDefault="00477DAD" w:rsidP="00B23EBD">
            <w:pPr>
              <w:spacing w:line="240" w:lineRule="auto"/>
              <w:ind w:firstLine="0"/>
              <w:jc w:val="left"/>
            </w:pPr>
            <w:r w:rsidRPr="00A472F1">
              <w:t>5</w:t>
            </w:r>
            <w:r w:rsidR="006E334C">
              <w:t>6.2</w:t>
            </w:r>
            <w:r w:rsidRPr="00A472F1">
              <w:t xml:space="preserve"> (1</w:t>
            </w:r>
            <w:r w:rsidR="00034AA1">
              <w:t>5.3</w:t>
            </w:r>
            <w:r w:rsidRPr="00A472F1">
              <w:t>)</w:t>
            </w:r>
          </w:p>
        </w:tc>
        <w:tc>
          <w:tcPr>
            <w:tcW w:w="1080" w:type="dxa"/>
            <w:tcBorders>
              <w:top w:val="single" w:sz="4" w:space="0" w:color="auto"/>
              <w:bottom w:val="single" w:sz="4" w:space="0" w:color="auto"/>
            </w:tcBorders>
          </w:tcPr>
          <w:p w14:paraId="2D3569B7" w14:textId="7CBC03D7" w:rsidR="00477DAD" w:rsidRPr="00A472F1" w:rsidRDefault="00477DAD" w:rsidP="00B23EBD">
            <w:pPr>
              <w:spacing w:line="240" w:lineRule="auto"/>
              <w:ind w:firstLine="0"/>
              <w:jc w:val="left"/>
            </w:pPr>
            <w:r w:rsidRPr="00A472F1">
              <w:t>0.</w:t>
            </w:r>
            <w:r w:rsidR="006E334C">
              <w:t>579</w:t>
            </w:r>
          </w:p>
        </w:tc>
      </w:tr>
      <w:tr w:rsidR="00477DAD" w:rsidRPr="00A472F1" w14:paraId="0E229688" w14:textId="77777777" w:rsidTr="006E334C">
        <w:tc>
          <w:tcPr>
            <w:tcW w:w="2970" w:type="dxa"/>
            <w:tcBorders>
              <w:top w:val="single" w:sz="4" w:space="0" w:color="auto"/>
              <w:bottom w:val="single" w:sz="4" w:space="0" w:color="auto"/>
            </w:tcBorders>
          </w:tcPr>
          <w:p w14:paraId="383F72B4" w14:textId="77777777" w:rsidR="00477DAD" w:rsidRPr="00A472F1" w:rsidRDefault="00477DAD" w:rsidP="00B23EBD">
            <w:pPr>
              <w:spacing w:line="240" w:lineRule="auto"/>
              <w:ind w:firstLine="0"/>
              <w:jc w:val="left"/>
              <w:rPr>
                <w:b/>
              </w:rPr>
            </w:pPr>
            <w:r w:rsidRPr="00A472F1">
              <w:rPr>
                <w:b/>
              </w:rPr>
              <w:t>KPS (</w:t>
            </w:r>
            <w:proofErr w:type="spellStart"/>
            <w:r w:rsidRPr="00A472F1">
              <w:rPr>
                <w:b/>
              </w:rPr>
              <w:t>sd</w:t>
            </w:r>
            <w:proofErr w:type="spellEnd"/>
            <w:r w:rsidRPr="00A472F1">
              <w:rPr>
                <w:b/>
              </w:rPr>
              <w:t>)</w:t>
            </w:r>
          </w:p>
        </w:tc>
        <w:tc>
          <w:tcPr>
            <w:tcW w:w="1800" w:type="dxa"/>
            <w:tcBorders>
              <w:top w:val="single" w:sz="4" w:space="0" w:color="auto"/>
              <w:bottom w:val="single" w:sz="4" w:space="0" w:color="auto"/>
            </w:tcBorders>
          </w:tcPr>
          <w:p w14:paraId="1B6FC798" w14:textId="785C3114" w:rsidR="00477DAD" w:rsidRPr="00A472F1" w:rsidRDefault="00165DD6" w:rsidP="00B23EBD">
            <w:pPr>
              <w:spacing w:line="240" w:lineRule="auto"/>
              <w:ind w:firstLine="0"/>
              <w:jc w:val="left"/>
            </w:pPr>
            <w:r>
              <w:t>8</w:t>
            </w:r>
            <w:r w:rsidR="0096084F">
              <w:t>6.0</w:t>
            </w:r>
            <w:r>
              <w:t xml:space="preserve"> (12.</w:t>
            </w:r>
            <w:r w:rsidR="0096084F">
              <w:t>7</w:t>
            </w:r>
            <w:r>
              <w:t>)</w:t>
            </w:r>
          </w:p>
        </w:tc>
        <w:tc>
          <w:tcPr>
            <w:tcW w:w="1710" w:type="dxa"/>
            <w:tcBorders>
              <w:top w:val="single" w:sz="4" w:space="0" w:color="auto"/>
              <w:bottom w:val="single" w:sz="4" w:space="0" w:color="auto"/>
            </w:tcBorders>
          </w:tcPr>
          <w:p w14:paraId="75202BD8" w14:textId="36937DB2" w:rsidR="00477DAD" w:rsidRPr="00A472F1" w:rsidRDefault="00477DAD" w:rsidP="00B23EBD">
            <w:pPr>
              <w:spacing w:line="240" w:lineRule="auto"/>
              <w:ind w:firstLine="0"/>
              <w:jc w:val="left"/>
            </w:pPr>
            <w:r w:rsidRPr="00A472F1">
              <w:t>8</w:t>
            </w:r>
            <w:r w:rsidR="006E334C">
              <w:t>4.9</w:t>
            </w:r>
            <w:r w:rsidRPr="00A472F1">
              <w:t xml:space="preserve"> (13.</w:t>
            </w:r>
            <w:r w:rsidR="00034AA1">
              <w:t>2</w:t>
            </w:r>
            <w:r w:rsidRPr="00A472F1">
              <w:t>)</w:t>
            </w:r>
          </w:p>
        </w:tc>
        <w:tc>
          <w:tcPr>
            <w:tcW w:w="1800" w:type="dxa"/>
            <w:tcBorders>
              <w:top w:val="single" w:sz="4" w:space="0" w:color="auto"/>
              <w:bottom w:val="single" w:sz="4" w:space="0" w:color="auto"/>
            </w:tcBorders>
          </w:tcPr>
          <w:p w14:paraId="6E3EF01B" w14:textId="5B6CC507" w:rsidR="00477DAD" w:rsidRPr="00A472F1" w:rsidRDefault="00477DAD" w:rsidP="00B23EBD">
            <w:pPr>
              <w:spacing w:line="240" w:lineRule="auto"/>
              <w:ind w:firstLine="0"/>
              <w:jc w:val="left"/>
            </w:pPr>
            <w:r w:rsidRPr="00A472F1">
              <w:t>8</w:t>
            </w:r>
            <w:r w:rsidR="006E334C">
              <w:t>6.9</w:t>
            </w:r>
            <w:r w:rsidRPr="00A472F1">
              <w:t xml:space="preserve"> (1</w:t>
            </w:r>
            <w:r w:rsidR="0096084F">
              <w:t>2.4</w:t>
            </w:r>
            <w:r w:rsidRPr="00A472F1">
              <w:t>)</w:t>
            </w:r>
          </w:p>
        </w:tc>
        <w:tc>
          <w:tcPr>
            <w:tcW w:w="1080" w:type="dxa"/>
            <w:tcBorders>
              <w:top w:val="single" w:sz="4" w:space="0" w:color="auto"/>
              <w:bottom w:val="single" w:sz="4" w:space="0" w:color="auto"/>
            </w:tcBorders>
          </w:tcPr>
          <w:p w14:paraId="7F8E38B6" w14:textId="5677C418" w:rsidR="00477DAD" w:rsidRPr="00A472F1" w:rsidRDefault="00477DAD" w:rsidP="00B23EBD">
            <w:pPr>
              <w:spacing w:line="240" w:lineRule="auto"/>
              <w:ind w:firstLine="0"/>
              <w:jc w:val="left"/>
            </w:pPr>
            <w:r w:rsidRPr="00A472F1">
              <w:t>0.</w:t>
            </w:r>
            <w:r w:rsidR="006E334C">
              <w:t>412</w:t>
            </w:r>
          </w:p>
        </w:tc>
      </w:tr>
      <w:tr w:rsidR="00477DAD" w:rsidRPr="00A472F1" w14:paraId="6A7E6804" w14:textId="77777777" w:rsidTr="006E334C">
        <w:tc>
          <w:tcPr>
            <w:tcW w:w="2970" w:type="dxa"/>
            <w:tcBorders>
              <w:top w:val="single" w:sz="4" w:space="0" w:color="auto"/>
            </w:tcBorders>
          </w:tcPr>
          <w:p w14:paraId="5FF58EFC" w14:textId="77777777" w:rsidR="00477DAD" w:rsidRPr="00A472F1" w:rsidRDefault="00477DAD" w:rsidP="00B23EBD">
            <w:pPr>
              <w:spacing w:line="240" w:lineRule="auto"/>
              <w:ind w:firstLine="0"/>
              <w:jc w:val="left"/>
              <w:rPr>
                <w:b/>
              </w:rPr>
            </w:pPr>
            <w:r w:rsidRPr="00A472F1">
              <w:rPr>
                <w:b/>
              </w:rPr>
              <w:t>Gender (%)</w:t>
            </w:r>
          </w:p>
        </w:tc>
        <w:tc>
          <w:tcPr>
            <w:tcW w:w="1800" w:type="dxa"/>
            <w:tcBorders>
              <w:top w:val="single" w:sz="4" w:space="0" w:color="auto"/>
            </w:tcBorders>
          </w:tcPr>
          <w:p w14:paraId="468FBB6B" w14:textId="77777777" w:rsidR="00477DAD" w:rsidRPr="00A472F1" w:rsidRDefault="00477DAD" w:rsidP="00B23EBD">
            <w:pPr>
              <w:spacing w:line="240" w:lineRule="auto"/>
              <w:ind w:firstLine="0"/>
              <w:jc w:val="left"/>
            </w:pPr>
          </w:p>
        </w:tc>
        <w:tc>
          <w:tcPr>
            <w:tcW w:w="1710" w:type="dxa"/>
            <w:tcBorders>
              <w:top w:val="single" w:sz="4" w:space="0" w:color="auto"/>
            </w:tcBorders>
          </w:tcPr>
          <w:p w14:paraId="6A7B407F" w14:textId="2A48D13C" w:rsidR="00477DAD" w:rsidRPr="00A472F1" w:rsidRDefault="00477DAD" w:rsidP="00B23EBD">
            <w:pPr>
              <w:spacing w:line="240" w:lineRule="auto"/>
              <w:ind w:firstLine="0"/>
              <w:jc w:val="left"/>
            </w:pPr>
          </w:p>
        </w:tc>
        <w:tc>
          <w:tcPr>
            <w:tcW w:w="1800" w:type="dxa"/>
            <w:tcBorders>
              <w:top w:val="single" w:sz="4" w:space="0" w:color="auto"/>
            </w:tcBorders>
          </w:tcPr>
          <w:p w14:paraId="15663802" w14:textId="77777777" w:rsidR="00477DAD" w:rsidRPr="00A472F1" w:rsidRDefault="00477DAD" w:rsidP="00B23EBD">
            <w:pPr>
              <w:spacing w:line="240" w:lineRule="auto"/>
              <w:ind w:firstLine="0"/>
              <w:jc w:val="left"/>
            </w:pPr>
          </w:p>
        </w:tc>
        <w:tc>
          <w:tcPr>
            <w:tcW w:w="1080" w:type="dxa"/>
            <w:tcBorders>
              <w:top w:val="single" w:sz="4" w:space="0" w:color="auto"/>
            </w:tcBorders>
          </w:tcPr>
          <w:p w14:paraId="0D7F5F79" w14:textId="23B4F0C9" w:rsidR="00477DAD" w:rsidRPr="00A472F1" w:rsidRDefault="00477DAD" w:rsidP="00B23EBD">
            <w:pPr>
              <w:spacing w:line="240" w:lineRule="auto"/>
              <w:ind w:firstLine="0"/>
              <w:jc w:val="left"/>
            </w:pPr>
            <w:r w:rsidRPr="00A472F1">
              <w:t>0.</w:t>
            </w:r>
            <w:r w:rsidR="006E334C">
              <w:t>351</w:t>
            </w:r>
          </w:p>
        </w:tc>
      </w:tr>
      <w:tr w:rsidR="00477DAD" w:rsidRPr="00A472F1" w14:paraId="5ACDB44E" w14:textId="77777777" w:rsidTr="006E334C">
        <w:tc>
          <w:tcPr>
            <w:tcW w:w="2970" w:type="dxa"/>
          </w:tcPr>
          <w:p w14:paraId="0E69511A" w14:textId="77777777" w:rsidR="00477DAD" w:rsidRPr="00A472F1" w:rsidRDefault="00477DAD" w:rsidP="00B23EBD">
            <w:pPr>
              <w:spacing w:line="240" w:lineRule="auto"/>
              <w:ind w:firstLine="518"/>
              <w:jc w:val="left"/>
              <w:rPr>
                <w:b/>
              </w:rPr>
            </w:pPr>
            <w:r w:rsidRPr="00A472F1">
              <w:rPr>
                <w:b/>
              </w:rPr>
              <w:t>Male</w:t>
            </w:r>
          </w:p>
        </w:tc>
        <w:tc>
          <w:tcPr>
            <w:tcW w:w="1800" w:type="dxa"/>
          </w:tcPr>
          <w:p w14:paraId="49AA674D" w14:textId="3AC8D582" w:rsidR="00477DAD" w:rsidRPr="00A472F1" w:rsidRDefault="0096084F" w:rsidP="00B23EBD">
            <w:pPr>
              <w:spacing w:line="240" w:lineRule="auto"/>
              <w:ind w:firstLine="0"/>
              <w:jc w:val="left"/>
            </w:pPr>
            <w:r>
              <w:t>65</w:t>
            </w:r>
            <w:r w:rsidR="00165DD6">
              <w:t xml:space="preserve"> (</w:t>
            </w:r>
            <w:r>
              <w:t>61</w:t>
            </w:r>
            <w:r w:rsidR="00165DD6">
              <w:t>)</w:t>
            </w:r>
          </w:p>
        </w:tc>
        <w:tc>
          <w:tcPr>
            <w:tcW w:w="1710" w:type="dxa"/>
          </w:tcPr>
          <w:p w14:paraId="7958F848" w14:textId="7DBAFB89" w:rsidR="00477DAD" w:rsidRPr="00A472F1" w:rsidRDefault="006E334C" w:rsidP="00B23EBD">
            <w:pPr>
              <w:spacing w:line="240" w:lineRule="auto"/>
              <w:ind w:firstLine="0"/>
              <w:jc w:val="left"/>
            </w:pPr>
            <w:r>
              <w:t>32</w:t>
            </w:r>
            <w:r w:rsidR="00477DAD" w:rsidRPr="00A472F1">
              <w:t xml:space="preserve"> (</w:t>
            </w:r>
            <w:r w:rsidR="00034AA1">
              <w:t>67</w:t>
            </w:r>
            <w:r w:rsidR="00477DAD" w:rsidRPr="00A472F1">
              <w:t>)</w:t>
            </w:r>
          </w:p>
        </w:tc>
        <w:tc>
          <w:tcPr>
            <w:tcW w:w="1800" w:type="dxa"/>
          </w:tcPr>
          <w:p w14:paraId="6539D7F1" w14:textId="1D8C192A" w:rsidR="00477DAD" w:rsidRPr="00A472F1" w:rsidRDefault="006E334C" w:rsidP="00B23EBD">
            <w:pPr>
              <w:spacing w:line="240" w:lineRule="auto"/>
              <w:ind w:firstLine="0"/>
              <w:jc w:val="left"/>
            </w:pPr>
            <w:r>
              <w:t>33</w:t>
            </w:r>
            <w:r w:rsidR="00477DAD" w:rsidRPr="00A472F1">
              <w:t xml:space="preserve"> (</w:t>
            </w:r>
            <w:r w:rsidR="00034AA1">
              <w:t>55</w:t>
            </w:r>
            <w:r w:rsidR="00477DAD" w:rsidRPr="00A472F1">
              <w:t>)</w:t>
            </w:r>
          </w:p>
        </w:tc>
        <w:tc>
          <w:tcPr>
            <w:tcW w:w="1080" w:type="dxa"/>
          </w:tcPr>
          <w:p w14:paraId="771E2711" w14:textId="77777777" w:rsidR="00477DAD" w:rsidRPr="00A472F1" w:rsidRDefault="00477DAD" w:rsidP="00B23EBD">
            <w:pPr>
              <w:spacing w:line="240" w:lineRule="auto"/>
              <w:ind w:firstLine="0"/>
              <w:jc w:val="left"/>
            </w:pPr>
          </w:p>
        </w:tc>
      </w:tr>
      <w:tr w:rsidR="00477DAD" w:rsidRPr="00A472F1" w14:paraId="3A48ED61" w14:textId="77777777" w:rsidTr="006E334C">
        <w:tc>
          <w:tcPr>
            <w:tcW w:w="2970" w:type="dxa"/>
            <w:tcBorders>
              <w:bottom w:val="single" w:sz="4" w:space="0" w:color="auto"/>
            </w:tcBorders>
          </w:tcPr>
          <w:p w14:paraId="208AFB5D" w14:textId="77777777" w:rsidR="00477DAD" w:rsidRPr="00A472F1" w:rsidRDefault="00477DAD" w:rsidP="00B23EBD">
            <w:pPr>
              <w:spacing w:line="240" w:lineRule="auto"/>
              <w:ind w:firstLine="518"/>
              <w:jc w:val="left"/>
              <w:rPr>
                <w:b/>
              </w:rPr>
            </w:pPr>
            <w:r w:rsidRPr="00A472F1">
              <w:rPr>
                <w:b/>
              </w:rPr>
              <w:t>Female</w:t>
            </w:r>
          </w:p>
        </w:tc>
        <w:tc>
          <w:tcPr>
            <w:tcW w:w="1800" w:type="dxa"/>
            <w:tcBorders>
              <w:bottom w:val="single" w:sz="4" w:space="0" w:color="auto"/>
            </w:tcBorders>
          </w:tcPr>
          <w:p w14:paraId="1269F264" w14:textId="61C6689F" w:rsidR="00477DAD" w:rsidRPr="00A472F1" w:rsidRDefault="0096084F" w:rsidP="00B23EBD">
            <w:pPr>
              <w:spacing w:line="240" w:lineRule="auto"/>
              <w:ind w:firstLine="0"/>
              <w:jc w:val="left"/>
            </w:pPr>
            <w:r>
              <w:t>42</w:t>
            </w:r>
            <w:r w:rsidR="00165DD6">
              <w:t xml:space="preserve"> (</w:t>
            </w:r>
            <w:r>
              <w:t>39</w:t>
            </w:r>
            <w:r w:rsidR="00165DD6">
              <w:t>)</w:t>
            </w:r>
          </w:p>
        </w:tc>
        <w:tc>
          <w:tcPr>
            <w:tcW w:w="1710" w:type="dxa"/>
            <w:tcBorders>
              <w:bottom w:val="single" w:sz="4" w:space="0" w:color="auto"/>
            </w:tcBorders>
          </w:tcPr>
          <w:p w14:paraId="0ED9EF43" w14:textId="3F2F6F48" w:rsidR="00477DAD" w:rsidRPr="00A472F1" w:rsidRDefault="006E334C" w:rsidP="00B23EBD">
            <w:pPr>
              <w:spacing w:line="240" w:lineRule="auto"/>
              <w:ind w:firstLine="0"/>
              <w:jc w:val="left"/>
            </w:pPr>
            <w:r>
              <w:t>16</w:t>
            </w:r>
            <w:r w:rsidR="00477DAD" w:rsidRPr="00A472F1">
              <w:t xml:space="preserve"> (</w:t>
            </w:r>
            <w:r w:rsidR="00034AA1">
              <w:t>33</w:t>
            </w:r>
            <w:r w:rsidR="00477DAD" w:rsidRPr="00A472F1">
              <w:t>)</w:t>
            </w:r>
          </w:p>
        </w:tc>
        <w:tc>
          <w:tcPr>
            <w:tcW w:w="1800" w:type="dxa"/>
            <w:tcBorders>
              <w:bottom w:val="single" w:sz="4" w:space="0" w:color="auto"/>
            </w:tcBorders>
          </w:tcPr>
          <w:p w14:paraId="59BC93F6" w14:textId="60C1D28C" w:rsidR="00477DAD" w:rsidRPr="00A472F1" w:rsidRDefault="006E334C" w:rsidP="00B23EBD">
            <w:pPr>
              <w:spacing w:line="240" w:lineRule="auto"/>
              <w:ind w:firstLine="0"/>
              <w:jc w:val="left"/>
            </w:pPr>
            <w:r>
              <w:t>26</w:t>
            </w:r>
            <w:r w:rsidR="00477DAD" w:rsidRPr="00A472F1">
              <w:t xml:space="preserve"> (</w:t>
            </w:r>
            <w:r w:rsidR="00034AA1">
              <w:t>44</w:t>
            </w:r>
            <w:r w:rsidR="00477DAD" w:rsidRPr="00A472F1">
              <w:t>)</w:t>
            </w:r>
          </w:p>
        </w:tc>
        <w:tc>
          <w:tcPr>
            <w:tcW w:w="1080" w:type="dxa"/>
            <w:tcBorders>
              <w:bottom w:val="single" w:sz="4" w:space="0" w:color="auto"/>
            </w:tcBorders>
          </w:tcPr>
          <w:p w14:paraId="32852E2B" w14:textId="77777777" w:rsidR="00477DAD" w:rsidRPr="00A472F1" w:rsidRDefault="00477DAD" w:rsidP="00B23EBD">
            <w:pPr>
              <w:spacing w:line="240" w:lineRule="auto"/>
              <w:ind w:firstLine="0"/>
              <w:jc w:val="left"/>
            </w:pPr>
          </w:p>
        </w:tc>
      </w:tr>
      <w:tr w:rsidR="00477DAD" w:rsidRPr="00A472F1" w14:paraId="03364EC8" w14:textId="77777777" w:rsidTr="006E334C">
        <w:tc>
          <w:tcPr>
            <w:tcW w:w="2970" w:type="dxa"/>
            <w:tcBorders>
              <w:top w:val="single" w:sz="4" w:space="0" w:color="auto"/>
            </w:tcBorders>
          </w:tcPr>
          <w:p w14:paraId="6F85B97C" w14:textId="77777777" w:rsidR="00477DAD" w:rsidRPr="00A472F1" w:rsidRDefault="00477DAD" w:rsidP="00B23EBD">
            <w:pPr>
              <w:spacing w:line="240" w:lineRule="auto"/>
              <w:ind w:firstLine="0"/>
              <w:jc w:val="left"/>
              <w:rPr>
                <w:b/>
              </w:rPr>
            </w:pPr>
            <w:r w:rsidRPr="00A472F1">
              <w:rPr>
                <w:b/>
              </w:rPr>
              <w:t xml:space="preserve">Prior Resection (%) </w:t>
            </w:r>
          </w:p>
        </w:tc>
        <w:tc>
          <w:tcPr>
            <w:tcW w:w="1800" w:type="dxa"/>
            <w:tcBorders>
              <w:top w:val="single" w:sz="4" w:space="0" w:color="auto"/>
            </w:tcBorders>
          </w:tcPr>
          <w:p w14:paraId="0EB35D14" w14:textId="77777777" w:rsidR="00477DAD" w:rsidRPr="00A472F1" w:rsidRDefault="00477DAD" w:rsidP="00B23EBD">
            <w:pPr>
              <w:spacing w:line="240" w:lineRule="auto"/>
              <w:ind w:firstLine="0"/>
              <w:jc w:val="left"/>
            </w:pPr>
          </w:p>
        </w:tc>
        <w:tc>
          <w:tcPr>
            <w:tcW w:w="1710" w:type="dxa"/>
            <w:tcBorders>
              <w:top w:val="single" w:sz="4" w:space="0" w:color="auto"/>
            </w:tcBorders>
          </w:tcPr>
          <w:p w14:paraId="7829C454" w14:textId="6E71616C" w:rsidR="00477DAD" w:rsidRPr="00A472F1" w:rsidRDefault="00477DAD" w:rsidP="00B23EBD">
            <w:pPr>
              <w:spacing w:line="240" w:lineRule="auto"/>
              <w:ind w:firstLine="0"/>
              <w:jc w:val="left"/>
            </w:pPr>
          </w:p>
        </w:tc>
        <w:tc>
          <w:tcPr>
            <w:tcW w:w="1800" w:type="dxa"/>
            <w:tcBorders>
              <w:top w:val="single" w:sz="4" w:space="0" w:color="auto"/>
            </w:tcBorders>
          </w:tcPr>
          <w:p w14:paraId="755DB523" w14:textId="77777777" w:rsidR="00477DAD" w:rsidRPr="00A472F1" w:rsidRDefault="00477DAD" w:rsidP="00B23EBD">
            <w:pPr>
              <w:spacing w:line="240" w:lineRule="auto"/>
              <w:ind w:firstLine="0"/>
              <w:jc w:val="left"/>
            </w:pPr>
          </w:p>
        </w:tc>
        <w:tc>
          <w:tcPr>
            <w:tcW w:w="1080" w:type="dxa"/>
            <w:tcBorders>
              <w:top w:val="single" w:sz="4" w:space="0" w:color="auto"/>
            </w:tcBorders>
          </w:tcPr>
          <w:p w14:paraId="26FAEBD7" w14:textId="6D5BCD2D" w:rsidR="00477DAD" w:rsidRPr="00A472F1" w:rsidRDefault="00477DAD" w:rsidP="00B23EBD">
            <w:pPr>
              <w:spacing w:line="240" w:lineRule="auto"/>
              <w:ind w:firstLine="0"/>
              <w:jc w:val="left"/>
            </w:pPr>
            <w:r w:rsidRPr="00A472F1">
              <w:t>0.</w:t>
            </w:r>
            <w:r w:rsidR="006E334C">
              <w:t>333</w:t>
            </w:r>
          </w:p>
        </w:tc>
      </w:tr>
      <w:tr w:rsidR="00477DAD" w:rsidRPr="00A472F1" w14:paraId="507A0C4A" w14:textId="77777777" w:rsidTr="006E334C">
        <w:tc>
          <w:tcPr>
            <w:tcW w:w="2970" w:type="dxa"/>
          </w:tcPr>
          <w:p w14:paraId="5579008F" w14:textId="77777777" w:rsidR="00477DAD" w:rsidRPr="00A472F1" w:rsidRDefault="00477DAD" w:rsidP="00B23EBD">
            <w:pPr>
              <w:spacing w:line="240" w:lineRule="auto"/>
              <w:ind w:firstLine="518"/>
              <w:jc w:val="left"/>
              <w:rPr>
                <w:b/>
              </w:rPr>
            </w:pPr>
            <w:r w:rsidRPr="00A472F1">
              <w:rPr>
                <w:b/>
              </w:rPr>
              <w:t>No</w:t>
            </w:r>
          </w:p>
        </w:tc>
        <w:tc>
          <w:tcPr>
            <w:tcW w:w="1800" w:type="dxa"/>
          </w:tcPr>
          <w:p w14:paraId="20F654F8" w14:textId="442C9EA8" w:rsidR="00477DAD" w:rsidRPr="00A472F1" w:rsidRDefault="0096084F" w:rsidP="00B23EBD">
            <w:pPr>
              <w:spacing w:line="240" w:lineRule="auto"/>
              <w:ind w:firstLine="0"/>
              <w:jc w:val="left"/>
            </w:pPr>
            <w:r>
              <w:t>58</w:t>
            </w:r>
            <w:r w:rsidR="00165DD6">
              <w:t xml:space="preserve"> (5</w:t>
            </w:r>
            <w:r>
              <w:t>4</w:t>
            </w:r>
            <w:r w:rsidR="00165DD6">
              <w:t>)</w:t>
            </w:r>
          </w:p>
        </w:tc>
        <w:tc>
          <w:tcPr>
            <w:tcW w:w="1710" w:type="dxa"/>
          </w:tcPr>
          <w:p w14:paraId="1E1746BE" w14:textId="7423A552" w:rsidR="00477DAD" w:rsidRPr="00A472F1" w:rsidRDefault="00034AA1" w:rsidP="00B23EBD">
            <w:pPr>
              <w:spacing w:line="240" w:lineRule="auto"/>
              <w:ind w:firstLine="0"/>
              <w:jc w:val="left"/>
            </w:pPr>
            <w:r>
              <w:t>29</w:t>
            </w:r>
            <w:r w:rsidR="00477DAD" w:rsidRPr="00A472F1">
              <w:t xml:space="preserve"> (</w:t>
            </w:r>
            <w:r>
              <w:t>60</w:t>
            </w:r>
            <w:r w:rsidR="00477DAD" w:rsidRPr="00A472F1">
              <w:t>)</w:t>
            </w:r>
          </w:p>
        </w:tc>
        <w:tc>
          <w:tcPr>
            <w:tcW w:w="1800" w:type="dxa"/>
          </w:tcPr>
          <w:p w14:paraId="7E01BADD" w14:textId="58472E3E" w:rsidR="00477DAD" w:rsidRPr="00A472F1" w:rsidRDefault="00034AA1" w:rsidP="00B23EBD">
            <w:pPr>
              <w:spacing w:line="240" w:lineRule="auto"/>
              <w:ind w:firstLine="0"/>
              <w:jc w:val="left"/>
            </w:pPr>
            <w:r>
              <w:t>29</w:t>
            </w:r>
            <w:r w:rsidR="00477DAD" w:rsidRPr="00A472F1">
              <w:t xml:space="preserve"> (</w:t>
            </w:r>
            <w:r>
              <w:t>49</w:t>
            </w:r>
            <w:r w:rsidR="00477DAD" w:rsidRPr="00A472F1">
              <w:t>)</w:t>
            </w:r>
          </w:p>
        </w:tc>
        <w:tc>
          <w:tcPr>
            <w:tcW w:w="1080" w:type="dxa"/>
          </w:tcPr>
          <w:p w14:paraId="236ABA4E" w14:textId="77777777" w:rsidR="00477DAD" w:rsidRPr="00A472F1" w:rsidRDefault="00477DAD" w:rsidP="00B23EBD">
            <w:pPr>
              <w:spacing w:line="240" w:lineRule="auto"/>
              <w:ind w:firstLine="0"/>
              <w:jc w:val="left"/>
            </w:pPr>
          </w:p>
        </w:tc>
      </w:tr>
      <w:tr w:rsidR="00477DAD" w:rsidRPr="00A472F1" w14:paraId="18461865" w14:textId="77777777" w:rsidTr="006E334C">
        <w:tc>
          <w:tcPr>
            <w:tcW w:w="2970" w:type="dxa"/>
            <w:tcBorders>
              <w:bottom w:val="single" w:sz="4" w:space="0" w:color="auto"/>
            </w:tcBorders>
          </w:tcPr>
          <w:p w14:paraId="7536576F" w14:textId="77777777" w:rsidR="00477DAD" w:rsidRPr="00A472F1" w:rsidRDefault="00477DAD" w:rsidP="00B23EBD">
            <w:pPr>
              <w:spacing w:line="240" w:lineRule="auto"/>
              <w:ind w:firstLine="518"/>
              <w:jc w:val="left"/>
              <w:rPr>
                <w:b/>
              </w:rPr>
            </w:pPr>
            <w:r w:rsidRPr="00A472F1">
              <w:rPr>
                <w:b/>
              </w:rPr>
              <w:t>Yes</w:t>
            </w:r>
          </w:p>
        </w:tc>
        <w:tc>
          <w:tcPr>
            <w:tcW w:w="1800" w:type="dxa"/>
            <w:tcBorders>
              <w:bottom w:val="single" w:sz="4" w:space="0" w:color="auto"/>
            </w:tcBorders>
          </w:tcPr>
          <w:p w14:paraId="4F3D0FE5" w14:textId="7562A643" w:rsidR="00477DAD" w:rsidRPr="00A472F1" w:rsidRDefault="0096084F" w:rsidP="00B23EBD">
            <w:pPr>
              <w:spacing w:line="240" w:lineRule="auto"/>
              <w:ind w:firstLine="0"/>
              <w:jc w:val="left"/>
            </w:pPr>
            <w:r>
              <w:t>49</w:t>
            </w:r>
            <w:r w:rsidR="00165DD6">
              <w:t xml:space="preserve"> (4</w:t>
            </w:r>
            <w:r>
              <w:t>6</w:t>
            </w:r>
            <w:r w:rsidR="00165DD6">
              <w:t>)</w:t>
            </w:r>
          </w:p>
        </w:tc>
        <w:tc>
          <w:tcPr>
            <w:tcW w:w="1710" w:type="dxa"/>
            <w:tcBorders>
              <w:bottom w:val="single" w:sz="4" w:space="0" w:color="auto"/>
            </w:tcBorders>
          </w:tcPr>
          <w:p w14:paraId="40C53463" w14:textId="7730E532" w:rsidR="00477DAD" w:rsidRPr="00A472F1" w:rsidRDefault="00034AA1" w:rsidP="00B23EBD">
            <w:pPr>
              <w:spacing w:line="240" w:lineRule="auto"/>
              <w:ind w:firstLine="0"/>
              <w:jc w:val="left"/>
            </w:pPr>
            <w:r>
              <w:t>19</w:t>
            </w:r>
            <w:r w:rsidR="00477DAD" w:rsidRPr="00A472F1">
              <w:t xml:space="preserve"> (</w:t>
            </w:r>
            <w:r>
              <w:t>40</w:t>
            </w:r>
            <w:r w:rsidR="00477DAD" w:rsidRPr="00A472F1">
              <w:t>)</w:t>
            </w:r>
          </w:p>
        </w:tc>
        <w:tc>
          <w:tcPr>
            <w:tcW w:w="1800" w:type="dxa"/>
            <w:tcBorders>
              <w:bottom w:val="single" w:sz="4" w:space="0" w:color="auto"/>
            </w:tcBorders>
          </w:tcPr>
          <w:p w14:paraId="68778591" w14:textId="4486E383" w:rsidR="00477DAD" w:rsidRPr="00A472F1" w:rsidRDefault="00034AA1" w:rsidP="00B23EBD">
            <w:pPr>
              <w:spacing w:line="240" w:lineRule="auto"/>
              <w:ind w:firstLine="0"/>
              <w:jc w:val="left"/>
            </w:pPr>
            <w:r>
              <w:t>30</w:t>
            </w:r>
            <w:r w:rsidR="00477DAD" w:rsidRPr="00A472F1">
              <w:t xml:space="preserve"> (</w:t>
            </w:r>
            <w:r>
              <w:t>51</w:t>
            </w:r>
            <w:r w:rsidR="00477DAD" w:rsidRPr="00A472F1">
              <w:t>)</w:t>
            </w:r>
          </w:p>
        </w:tc>
        <w:tc>
          <w:tcPr>
            <w:tcW w:w="1080" w:type="dxa"/>
            <w:tcBorders>
              <w:bottom w:val="single" w:sz="4" w:space="0" w:color="auto"/>
            </w:tcBorders>
          </w:tcPr>
          <w:p w14:paraId="4C4BF014" w14:textId="77777777" w:rsidR="00477DAD" w:rsidRPr="00A472F1" w:rsidRDefault="00477DAD" w:rsidP="00B23EBD">
            <w:pPr>
              <w:spacing w:line="240" w:lineRule="auto"/>
              <w:ind w:firstLine="0"/>
              <w:jc w:val="left"/>
            </w:pPr>
          </w:p>
        </w:tc>
      </w:tr>
      <w:tr w:rsidR="00477DAD" w:rsidRPr="00A472F1" w14:paraId="01B987FE" w14:textId="77777777" w:rsidTr="006E334C">
        <w:tc>
          <w:tcPr>
            <w:tcW w:w="2970" w:type="dxa"/>
            <w:tcBorders>
              <w:top w:val="single" w:sz="4" w:space="0" w:color="auto"/>
            </w:tcBorders>
          </w:tcPr>
          <w:p w14:paraId="54228819" w14:textId="77777777" w:rsidR="00477DAD" w:rsidRPr="00A472F1" w:rsidRDefault="00477DAD" w:rsidP="00B23EBD">
            <w:pPr>
              <w:spacing w:line="240" w:lineRule="auto"/>
              <w:ind w:firstLine="0"/>
              <w:jc w:val="left"/>
              <w:rPr>
                <w:b/>
              </w:rPr>
            </w:pPr>
            <w:r w:rsidRPr="00A472F1">
              <w:rPr>
                <w:b/>
              </w:rPr>
              <w:t>Cancer Still Affecting (%)</w:t>
            </w:r>
          </w:p>
        </w:tc>
        <w:tc>
          <w:tcPr>
            <w:tcW w:w="1800" w:type="dxa"/>
            <w:tcBorders>
              <w:top w:val="single" w:sz="4" w:space="0" w:color="auto"/>
            </w:tcBorders>
          </w:tcPr>
          <w:p w14:paraId="7AD24554" w14:textId="77777777" w:rsidR="00477DAD" w:rsidRPr="00A472F1" w:rsidRDefault="00477DAD" w:rsidP="00B23EBD">
            <w:pPr>
              <w:spacing w:line="240" w:lineRule="auto"/>
              <w:ind w:firstLine="0"/>
              <w:jc w:val="left"/>
            </w:pPr>
          </w:p>
        </w:tc>
        <w:tc>
          <w:tcPr>
            <w:tcW w:w="1710" w:type="dxa"/>
            <w:tcBorders>
              <w:top w:val="single" w:sz="4" w:space="0" w:color="auto"/>
            </w:tcBorders>
          </w:tcPr>
          <w:p w14:paraId="4BCC03C5" w14:textId="7497B39B" w:rsidR="00477DAD" w:rsidRPr="00A472F1" w:rsidRDefault="00477DAD" w:rsidP="00B23EBD">
            <w:pPr>
              <w:spacing w:line="240" w:lineRule="auto"/>
              <w:ind w:firstLine="0"/>
              <w:jc w:val="left"/>
            </w:pPr>
          </w:p>
        </w:tc>
        <w:tc>
          <w:tcPr>
            <w:tcW w:w="1800" w:type="dxa"/>
            <w:tcBorders>
              <w:top w:val="single" w:sz="4" w:space="0" w:color="auto"/>
            </w:tcBorders>
          </w:tcPr>
          <w:p w14:paraId="6CB96A7D" w14:textId="77777777" w:rsidR="00477DAD" w:rsidRPr="00A472F1" w:rsidRDefault="00477DAD" w:rsidP="00B23EBD">
            <w:pPr>
              <w:spacing w:line="240" w:lineRule="auto"/>
              <w:ind w:firstLine="0"/>
              <w:jc w:val="left"/>
            </w:pPr>
          </w:p>
        </w:tc>
        <w:tc>
          <w:tcPr>
            <w:tcW w:w="1080" w:type="dxa"/>
            <w:tcBorders>
              <w:top w:val="single" w:sz="4" w:space="0" w:color="auto"/>
            </w:tcBorders>
          </w:tcPr>
          <w:p w14:paraId="20373A05" w14:textId="2D527CA4" w:rsidR="00477DAD" w:rsidRPr="00A472F1" w:rsidRDefault="00477DAD" w:rsidP="00B23EBD">
            <w:pPr>
              <w:spacing w:line="240" w:lineRule="auto"/>
              <w:ind w:firstLine="0"/>
              <w:jc w:val="left"/>
            </w:pPr>
            <w:r w:rsidRPr="00A472F1">
              <w:t>0.8</w:t>
            </w:r>
            <w:r w:rsidR="00034AA1">
              <w:t>55</w:t>
            </w:r>
          </w:p>
        </w:tc>
      </w:tr>
      <w:tr w:rsidR="00477DAD" w:rsidRPr="00A472F1" w14:paraId="44CBD481" w14:textId="77777777" w:rsidTr="006E334C">
        <w:tc>
          <w:tcPr>
            <w:tcW w:w="2970" w:type="dxa"/>
          </w:tcPr>
          <w:p w14:paraId="45A2DB43" w14:textId="77777777" w:rsidR="00477DAD" w:rsidRPr="00A472F1" w:rsidRDefault="00477DAD" w:rsidP="00B23EBD">
            <w:pPr>
              <w:spacing w:line="240" w:lineRule="auto"/>
              <w:ind w:firstLine="518"/>
              <w:jc w:val="left"/>
              <w:rPr>
                <w:b/>
              </w:rPr>
            </w:pPr>
            <w:r w:rsidRPr="00A472F1">
              <w:rPr>
                <w:b/>
              </w:rPr>
              <w:t>No</w:t>
            </w:r>
          </w:p>
        </w:tc>
        <w:tc>
          <w:tcPr>
            <w:tcW w:w="1800" w:type="dxa"/>
          </w:tcPr>
          <w:p w14:paraId="67118BF8" w14:textId="6FA61A32" w:rsidR="00477DAD" w:rsidRPr="00A472F1" w:rsidRDefault="0096084F" w:rsidP="00B23EBD">
            <w:pPr>
              <w:spacing w:line="240" w:lineRule="auto"/>
              <w:ind w:firstLine="0"/>
              <w:jc w:val="left"/>
            </w:pPr>
            <w:r>
              <w:t>48</w:t>
            </w:r>
            <w:r w:rsidR="00165DD6">
              <w:t xml:space="preserve"> (4</w:t>
            </w:r>
            <w:r>
              <w:t>5</w:t>
            </w:r>
            <w:r w:rsidR="00165DD6">
              <w:t>)</w:t>
            </w:r>
          </w:p>
        </w:tc>
        <w:tc>
          <w:tcPr>
            <w:tcW w:w="1710" w:type="dxa"/>
          </w:tcPr>
          <w:p w14:paraId="13C277D4" w14:textId="5DCE92A4" w:rsidR="00477DAD" w:rsidRPr="00A472F1" w:rsidRDefault="00034AA1" w:rsidP="00B23EBD">
            <w:pPr>
              <w:spacing w:line="240" w:lineRule="auto"/>
              <w:ind w:firstLine="0"/>
              <w:jc w:val="left"/>
            </w:pPr>
            <w:r>
              <w:t>22</w:t>
            </w:r>
            <w:r w:rsidR="00477DAD" w:rsidRPr="00A472F1">
              <w:t xml:space="preserve"> (</w:t>
            </w:r>
            <w:r>
              <w:t>46</w:t>
            </w:r>
            <w:r w:rsidR="00477DAD" w:rsidRPr="00A472F1">
              <w:t>)</w:t>
            </w:r>
          </w:p>
        </w:tc>
        <w:tc>
          <w:tcPr>
            <w:tcW w:w="1800" w:type="dxa"/>
          </w:tcPr>
          <w:p w14:paraId="267BCC5F" w14:textId="51E84630" w:rsidR="00477DAD" w:rsidRPr="00A472F1" w:rsidRDefault="00034AA1" w:rsidP="00B23EBD">
            <w:pPr>
              <w:spacing w:line="240" w:lineRule="auto"/>
              <w:ind w:firstLine="0"/>
              <w:jc w:val="left"/>
            </w:pPr>
            <w:r>
              <w:t>26</w:t>
            </w:r>
            <w:r w:rsidR="00477DAD" w:rsidRPr="00A472F1">
              <w:t xml:space="preserve"> (</w:t>
            </w:r>
            <w:r>
              <w:t>44</w:t>
            </w:r>
            <w:r w:rsidR="00477DAD" w:rsidRPr="00A472F1">
              <w:t>)</w:t>
            </w:r>
          </w:p>
        </w:tc>
        <w:tc>
          <w:tcPr>
            <w:tcW w:w="1080" w:type="dxa"/>
          </w:tcPr>
          <w:p w14:paraId="765C0F82" w14:textId="77777777" w:rsidR="00477DAD" w:rsidRPr="00A472F1" w:rsidRDefault="00477DAD" w:rsidP="00B23EBD">
            <w:pPr>
              <w:spacing w:line="240" w:lineRule="auto"/>
              <w:ind w:firstLine="0"/>
              <w:jc w:val="left"/>
            </w:pPr>
          </w:p>
        </w:tc>
      </w:tr>
      <w:tr w:rsidR="00477DAD" w:rsidRPr="00A472F1" w14:paraId="7A6EE294" w14:textId="77777777" w:rsidTr="006E334C">
        <w:tc>
          <w:tcPr>
            <w:tcW w:w="2970" w:type="dxa"/>
            <w:tcBorders>
              <w:bottom w:val="single" w:sz="4" w:space="0" w:color="auto"/>
            </w:tcBorders>
          </w:tcPr>
          <w:p w14:paraId="5AA43074" w14:textId="77777777" w:rsidR="00477DAD" w:rsidRPr="00A472F1" w:rsidRDefault="00477DAD" w:rsidP="00B23EBD">
            <w:pPr>
              <w:spacing w:line="240" w:lineRule="auto"/>
              <w:ind w:firstLine="518"/>
              <w:jc w:val="left"/>
              <w:rPr>
                <w:b/>
              </w:rPr>
            </w:pPr>
            <w:r w:rsidRPr="00A472F1">
              <w:rPr>
                <w:b/>
              </w:rPr>
              <w:t>Yes</w:t>
            </w:r>
          </w:p>
        </w:tc>
        <w:tc>
          <w:tcPr>
            <w:tcW w:w="1800" w:type="dxa"/>
            <w:tcBorders>
              <w:bottom w:val="single" w:sz="4" w:space="0" w:color="auto"/>
            </w:tcBorders>
          </w:tcPr>
          <w:p w14:paraId="7F2451A1" w14:textId="758ACC5E" w:rsidR="00477DAD" w:rsidRPr="00A472F1" w:rsidRDefault="0096084F" w:rsidP="00B23EBD">
            <w:pPr>
              <w:spacing w:line="240" w:lineRule="auto"/>
              <w:ind w:firstLine="0"/>
              <w:jc w:val="left"/>
            </w:pPr>
            <w:r>
              <w:t>59</w:t>
            </w:r>
            <w:r w:rsidR="00165DD6">
              <w:t xml:space="preserve"> (5</w:t>
            </w:r>
            <w:r>
              <w:t>5</w:t>
            </w:r>
            <w:r w:rsidR="00165DD6">
              <w:t>)</w:t>
            </w:r>
          </w:p>
        </w:tc>
        <w:tc>
          <w:tcPr>
            <w:tcW w:w="1710" w:type="dxa"/>
            <w:tcBorders>
              <w:bottom w:val="single" w:sz="4" w:space="0" w:color="auto"/>
            </w:tcBorders>
          </w:tcPr>
          <w:p w14:paraId="67E3B8F1" w14:textId="19D96581" w:rsidR="00477DAD" w:rsidRPr="00A472F1" w:rsidRDefault="00034AA1" w:rsidP="00B23EBD">
            <w:pPr>
              <w:spacing w:line="240" w:lineRule="auto"/>
              <w:ind w:firstLine="0"/>
              <w:jc w:val="left"/>
            </w:pPr>
            <w:r>
              <w:t>26</w:t>
            </w:r>
            <w:r w:rsidR="00477DAD" w:rsidRPr="00A472F1">
              <w:t xml:space="preserve"> (</w:t>
            </w:r>
            <w:r>
              <w:t>54</w:t>
            </w:r>
            <w:r w:rsidR="00477DAD" w:rsidRPr="00A472F1">
              <w:t>)</w:t>
            </w:r>
          </w:p>
        </w:tc>
        <w:tc>
          <w:tcPr>
            <w:tcW w:w="1800" w:type="dxa"/>
            <w:tcBorders>
              <w:bottom w:val="single" w:sz="4" w:space="0" w:color="auto"/>
            </w:tcBorders>
          </w:tcPr>
          <w:p w14:paraId="263AD77C" w14:textId="0241B017" w:rsidR="00477DAD" w:rsidRPr="00A472F1" w:rsidRDefault="00034AA1" w:rsidP="00B23EBD">
            <w:pPr>
              <w:spacing w:line="240" w:lineRule="auto"/>
              <w:ind w:firstLine="0"/>
              <w:jc w:val="left"/>
            </w:pPr>
            <w:r>
              <w:t>33</w:t>
            </w:r>
            <w:r w:rsidR="00477DAD" w:rsidRPr="00A472F1">
              <w:t xml:space="preserve"> (5</w:t>
            </w:r>
            <w:r>
              <w:t>6</w:t>
            </w:r>
            <w:r w:rsidR="00477DAD" w:rsidRPr="00A472F1">
              <w:t>)</w:t>
            </w:r>
          </w:p>
        </w:tc>
        <w:tc>
          <w:tcPr>
            <w:tcW w:w="1080" w:type="dxa"/>
            <w:tcBorders>
              <w:bottom w:val="single" w:sz="4" w:space="0" w:color="auto"/>
            </w:tcBorders>
          </w:tcPr>
          <w:p w14:paraId="3A697309" w14:textId="77777777" w:rsidR="00477DAD" w:rsidRPr="00A472F1" w:rsidRDefault="00477DAD" w:rsidP="00B23EBD">
            <w:pPr>
              <w:spacing w:line="240" w:lineRule="auto"/>
              <w:ind w:firstLine="0"/>
              <w:jc w:val="left"/>
            </w:pPr>
          </w:p>
        </w:tc>
      </w:tr>
    </w:tbl>
    <w:p w14:paraId="5E3E1D43" w14:textId="77777777" w:rsidR="00CD197D" w:rsidRDefault="00CD197D" w:rsidP="00317211">
      <w:pPr>
        <w:ind w:firstLine="0"/>
        <w:jc w:val="left"/>
      </w:pPr>
    </w:p>
    <w:p w14:paraId="0BC799B2" w14:textId="6124DCF9" w:rsidR="00180D36" w:rsidRDefault="008F2227" w:rsidP="00317211">
      <w:pPr>
        <w:spacing w:line="480" w:lineRule="auto"/>
        <w:ind w:firstLine="720"/>
        <w:jc w:val="left"/>
      </w:pPr>
      <w:r w:rsidRPr="008F2227">
        <w:lastRenderedPageBreak/>
        <w:t xml:space="preserve">Loess plots </w:t>
      </w:r>
      <w:r w:rsidR="00180D36">
        <w:t>were used to asses the form of the relationship between age and QoL, as well as age and uncertaint</w:t>
      </w:r>
      <w:r w:rsidR="009260B4">
        <w:t>y</w:t>
      </w:r>
      <w:r w:rsidR="00180D36">
        <w:t xml:space="preserve">, </w:t>
      </w:r>
      <w:r w:rsidR="00CD197D">
        <w:t>to determine</w:t>
      </w:r>
      <w:r w:rsidR="00180D36">
        <w:t xml:space="preserve"> if any</w:t>
      </w:r>
      <w:r w:rsidR="00180D36" w:rsidRPr="00180D36">
        <w:t xml:space="preserve"> transformations needed to be included in the subsequent models.</w:t>
      </w:r>
      <w:r w:rsidR="00180D36">
        <w:t xml:space="preserve"> Figure 1 depicts the loess plots, separated by timing of the </w:t>
      </w:r>
      <w:r w:rsidR="00A10FC1">
        <w:t>questionnaire</w:t>
      </w:r>
      <w:r w:rsidR="00180D36">
        <w:t xml:space="preserve">.  In either case, the points </w:t>
      </w:r>
      <w:r w:rsidR="00DC52A2">
        <w:t>appear</w:t>
      </w:r>
      <w:r w:rsidR="00180D36">
        <w:t xml:space="preserve"> scattered in a cloud, with no real relationship between age and </w:t>
      </w:r>
      <w:r w:rsidR="009260B4">
        <w:t>QoL</w:t>
      </w:r>
      <w:r w:rsidR="00180D36">
        <w:t xml:space="preserve"> or age and uncertainty across time. </w:t>
      </w:r>
    </w:p>
    <w:p w14:paraId="0360004F" w14:textId="77777777" w:rsidR="00797D75" w:rsidRDefault="00797D75" w:rsidP="00B23EBD">
      <w:pPr>
        <w:spacing w:line="240" w:lineRule="auto"/>
        <w:ind w:hanging="288"/>
        <w:jc w:val="left"/>
        <w:rPr>
          <w:noProof/>
        </w:rPr>
      </w:pPr>
      <w:r>
        <w:rPr>
          <w:noProof/>
        </w:rPr>
        <w:drawing>
          <wp:inline distT="0" distB="0" distL="0" distR="0" wp14:anchorId="3825B1F1" wp14:editId="05F33FE5">
            <wp:extent cx="6269809" cy="2881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9809" cy="2881423"/>
                    </a:xfrm>
                    <a:prstGeom prst="rect">
                      <a:avLst/>
                    </a:prstGeom>
                  </pic:spPr>
                </pic:pic>
              </a:graphicData>
            </a:graphic>
          </wp:inline>
        </w:drawing>
      </w:r>
    </w:p>
    <w:p w14:paraId="14F8847C" w14:textId="77777777" w:rsidR="00413ED2" w:rsidRPr="00DC52A2" w:rsidRDefault="00180D36" w:rsidP="00B23EBD">
      <w:pPr>
        <w:spacing w:line="240" w:lineRule="auto"/>
        <w:ind w:hanging="288"/>
        <w:jc w:val="left"/>
      </w:pPr>
      <w:r w:rsidRPr="00DC52A2">
        <w:rPr>
          <w:b/>
        </w:rPr>
        <w:t>Figure 1</w:t>
      </w:r>
      <w:r w:rsidR="00164DF1" w:rsidRPr="00DC52A2">
        <w:rPr>
          <w:b/>
        </w:rPr>
        <w:t>.</w:t>
      </w:r>
      <w:r w:rsidRPr="00DC52A2">
        <w:t xml:space="preserve"> Loess plots of Age vs QoL and Age vs Uncertainty separated by when the patient filled out the questio</w:t>
      </w:r>
      <w:r w:rsidR="002818BF" w:rsidRPr="00DC52A2">
        <w:t>n</w:t>
      </w:r>
      <w:r w:rsidRPr="00DC52A2">
        <w:t>naire.</w:t>
      </w:r>
    </w:p>
    <w:p w14:paraId="1CFF3BDA" w14:textId="77777777" w:rsidR="005C2083" w:rsidRDefault="005C2083" w:rsidP="00B23EBD">
      <w:pPr>
        <w:spacing w:line="240" w:lineRule="auto"/>
        <w:ind w:hanging="288"/>
        <w:jc w:val="left"/>
      </w:pPr>
    </w:p>
    <w:p w14:paraId="361679D5" w14:textId="1064B798" w:rsidR="005C2083" w:rsidRDefault="005C2083" w:rsidP="00317211">
      <w:pPr>
        <w:spacing w:line="480" w:lineRule="auto"/>
        <w:jc w:val="left"/>
      </w:pPr>
      <w:r>
        <w:t xml:space="preserve">For the model of </w:t>
      </w:r>
      <w:r w:rsidR="00CD197D">
        <w:t>QoL vs age</w:t>
      </w:r>
      <w:r>
        <w:t xml:space="preserve">, </w:t>
      </w:r>
      <w:r w:rsidR="00CD197D">
        <w:t>t</w:t>
      </w:r>
      <w:r>
        <w:t>he age by time interaction estimate was found</w:t>
      </w:r>
      <w:r w:rsidR="009F37C9">
        <w:t xml:space="preserve"> to be -0.</w:t>
      </w:r>
      <w:r w:rsidR="00203D05">
        <w:t>14</w:t>
      </w:r>
      <w:r w:rsidR="009F37C9">
        <w:t xml:space="preserve"> and</w:t>
      </w:r>
      <w:r>
        <w:t xml:space="preserve"> </w:t>
      </w:r>
      <w:r w:rsidR="00CD197D">
        <w:t>not significant,</w:t>
      </w:r>
      <w:r>
        <w:t xml:space="preserve"> with a p-value of 0.1</w:t>
      </w:r>
      <w:r w:rsidR="00203D05">
        <w:t>43</w:t>
      </w:r>
      <w:r>
        <w:t>. Therefore</w:t>
      </w:r>
      <w:r w:rsidR="008867E4">
        <w:t>,</w:t>
      </w:r>
      <w:r>
        <w:t xml:space="preserve"> it was concluded that</w:t>
      </w:r>
      <w:r w:rsidR="00CD197D">
        <w:t>, given the data,</w:t>
      </w:r>
      <w:r>
        <w:t xml:space="preserve"> the relationship of age and QoL did not change over time.  For the model of age vs uncertainty, the age by time interaction </w:t>
      </w:r>
      <w:r w:rsidR="00CD197D">
        <w:t>was also found not to be significant</w:t>
      </w:r>
      <w:r>
        <w:t>, with</w:t>
      </w:r>
      <w:r w:rsidR="009F37C9">
        <w:t xml:space="preserve"> an estimate of </w:t>
      </w:r>
      <w:r w:rsidR="00203D05">
        <w:t>-0.02</w:t>
      </w:r>
      <w:r w:rsidR="009F37C9">
        <w:t xml:space="preserve"> and</w:t>
      </w:r>
      <w:r>
        <w:t xml:space="preserve"> a p-value of 0.</w:t>
      </w:r>
      <w:r w:rsidR="00203D05">
        <w:t>857</w:t>
      </w:r>
      <w:bookmarkStart w:id="0" w:name="_GoBack"/>
      <w:bookmarkEnd w:id="0"/>
      <w:r>
        <w:t xml:space="preserve">.  </w:t>
      </w:r>
      <w:r w:rsidR="00CD197D">
        <w:t>Likewise,</w:t>
      </w:r>
      <w:r>
        <w:t xml:space="preserve"> it was concluded that</w:t>
      </w:r>
      <w:r w:rsidR="00CD197D">
        <w:t>, given the data,</w:t>
      </w:r>
      <w:r>
        <w:t xml:space="preserve"> the relationship of age and uncertainty did not change over time either.  </w:t>
      </w:r>
    </w:p>
    <w:p w14:paraId="2826CBCB" w14:textId="38B4E84E" w:rsidR="009F37C9" w:rsidRPr="008F2227" w:rsidRDefault="00C72E44" w:rsidP="009F37C9">
      <w:pPr>
        <w:pStyle w:val="Heading2"/>
      </w:pPr>
      <w:r>
        <w:t>Discussion</w:t>
      </w:r>
    </w:p>
    <w:p w14:paraId="7435339E" w14:textId="67E1AA6A" w:rsidR="009F37C9" w:rsidRPr="008F2227" w:rsidRDefault="009F37C9" w:rsidP="00317211">
      <w:pPr>
        <w:spacing w:line="480" w:lineRule="auto"/>
        <w:ind w:firstLine="0"/>
        <w:jc w:val="left"/>
      </w:pPr>
      <w:r>
        <w:tab/>
        <w:t>After thorough exploration into the relationship of patient age and QoL</w:t>
      </w:r>
      <w:r w:rsidR="00C72E44">
        <w:t>,</w:t>
      </w:r>
      <w:r>
        <w:t xml:space="preserve"> as well as uncertainty, </w:t>
      </w:r>
      <w:r w:rsidR="00C72E44">
        <w:t xml:space="preserve">it was concluded that no such relationship existed. </w:t>
      </w:r>
      <w:r w:rsidR="00862EF1">
        <w:t xml:space="preserve">Furthermore, there was no significant change in the </w:t>
      </w:r>
      <w:r w:rsidR="00862EF1">
        <w:lastRenderedPageBreak/>
        <w:t>relationship between patient age and each of QoL and uncertainty scores.  A possible limitation of the study was the small number of time points that were available in the data.</w:t>
      </w:r>
    </w:p>
    <w:p w14:paraId="31516352" w14:textId="1A5C1277" w:rsidR="00E119E0" w:rsidRDefault="00E119E0" w:rsidP="00E119E0">
      <w:pPr>
        <w:ind w:firstLine="0"/>
        <w:jc w:val="left"/>
      </w:pPr>
    </w:p>
    <w:p w14:paraId="593D1241" w14:textId="16F23C34" w:rsidR="00E119E0" w:rsidRDefault="00E119E0" w:rsidP="00E119E0">
      <w:pPr>
        <w:ind w:firstLine="0"/>
        <w:jc w:val="left"/>
      </w:pPr>
    </w:p>
    <w:p w14:paraId="65FC62A4" w14:textId="1E611FEC" w:rsidR="00E119E0" w:rsidRDefault="00E119E0" w:rsidP="00E119E0">
      <w:pPr>
        <w:ind w:firstLine="0"/>
        <w:jc w:val="left"/>
      </w:pPr>
    </w:p>
    <w:p w14:paraId="5955A90D" w14:textId="77777777" w:rsidR="00317211" w:rsidRDefault="00317211" w:rsidP="00E119E0">
      <w:pPr>
        <w:spacing w:line="240" w:lineRule="auto"/>
        <w:ind w:firstLine="0"/>
        <w:jc w:val="left"/>
      </w:pPr>
    </w:p>
    <w:p w14:paraId="1D8313F3" w14:textId="77777777" w:rsidR="00317211" w:rsidRDefault="00317211" w:rsidP="00E119E0">
      <w:pPr>
        <w:spacing w:line="240" w:lineRule="auto"/>
        <w:ind w:firstLine="0"/>
        <w:jc w:val="left"/>
      </w:pPr>
    </w:p>
    <w:p w14:paraId="6570E413" w14:textId="77777777" w:rsidR="00317211" w:rsidRDefault="00317211" w:rsidP="00E119E0">
      <w:pPr>
        <w:spacing w:line="240" w:lineRule="auto"/>
        <w:ind w:firstLine="0"/>
        <w:jc w:val="left"/>
      </w:pPr>
    </w:p>
    <w:p w14:paraId="61B550DC" w14:textId="77777777" w:rsidR="00317211" w:rsidRDefault="00317211" w:rsidP="00E119E0">
      <w:pPr>
        <w:spacing w:line="240" w:lineRule="auto"/>
        <w:ind w:firstLine="0"/>
        <w:jc w:val="left"/>
      </w:pPr>
    </w:p>
    <w:p w14:paraId="1070CBC4" w14:textId="77777777" w:rsidR="00317211" w:rsidRDefault="00317211" w:rsidP="00E119E0">
      <w:pPr>
        <w:spacing w:line="240" w:lineRule="auto"/>
        <w:ind w:firstLine="0"/>
        <w:jc w:val="left"/>
      </w:pPr>
    </w:p>
    <w:p w14:paraId="5D9ABA16" w14:textId="77777777" w:rsidR="00317211" w:rsidRDefault="00317211" w:rsidP="00E119E0">
      <w:pPr>
        <w:spacing w:line="240" w:lineRule="auto"/>
        <w:ind w:firstLine="0"/>
        <w:jc w:val="left"/>
      </w:pPr>
    </w:p>
    <w:p w14:paraId="569DE94E" w14:textId="77777777" w:rsidR="00317211" w:rsidRDefault="00317211" w:rsidP="00E119E0">
      <w:pPr>
        <w:spacing w:line="240" w:lineRule="auto"/>
        <w:ind w:firstLine="0"/>
        <w:jc w:val="left"/>
      </w:pPr>
    </w:p>
    <w:p w14:paraId="09BEF1E1" w14:textId="77777777" w:rsidR="00317211" w:rsidRDefault="00317211" w:rsidP="00E119E0">
      <w:pPr>
        <w:spacing w:line="240" w:lineRule="auto"/>
        <w:ind w:firstLine="0"/>
        <w:jc w:val="left"/>
      </w:pPr>
    </w:p>
    <w:p w14:paraId="4DA37386" w14:textId="77777777" w:rsidR="00317211" w:rsidRDefault="00317211" w:rsidP="00E119E0">
      <w:pPr>
        <w:spacing w:line="240" w:lineRule="auto"/>
        <w:ind w:firstLine="0"/>
        <w:jc w:val="left"/>
      </w:pPr>
    </w:p>
    <w:p w14:paraId="4853F93A" w14:textId="77777777" w:rsidR="00317211" w:rsidRDefault="00317211" w:rsidP="00E119E0">
      <w:pPr>
        <w:spacing w:line="240" w:lineRule="auto"/>
        <w:ind w:firstLine="0"/>
        <w:jc w:val="left"/>
      </w:pPr>
    </w:p>
    <w:p w14:paraId="37617B5D" w14:textId="77777777" w:rsidR="00317211" w:rsidRDefault="00317211" w:rsidP="00E119E0">
      <w:pPr>
        <w:spacing w:line="240" w:lineRule="auto"/>
        <w:ind w:firstLine="0"/>
        <w:jc w:val="left"/>
      </w:pPr>
    </w:p>
    <w:p w14:paraId="26C65B86" w14:textId="77777777" w:rsidR="00317211" w:rsidRDefault="00317211" w:rsidP="00E119E0">
      <w:pPr>
        <w:spacing w:line="240" w:lineRule="auto"/>
        <w:ind w:firstLine="0"/>
        <w:jc w:val="left"/>
      </w:pPr>
    </w:p>
    <w:p w14:paraId="1C3EA3B4" w14:textId="77777777" w:rsidR="00317211" w:rsidRDefault="00317211" w:rsidP="00E119E0">
      <w:pPr>
        <w:spacing w:line="240" w:lineRule="auto"/>
        <w:ind w:firstLine="0"/>
        <w:jc w:val="left"/>
      </w:pPr>
    </w:p>
    <w:p w14:paraId="68FFDB24" w14:textId="77777777" w:rsidR="00317211" w:rsidRDefault="00317211" w:rsidP="00E119E0">
      <w:pPr>
        <w:spacing w:line="240" w:lineRule="auto"/>
        <w:ind w:firstLine="0"/>
        <w:jc w:val="left"/>
      </w:pPr>
    </w:p>
    <w:p w14:paraId="625CAD9C" w14:textId="77777777" w:rsidR="00317211" w:rsidRDefault="00317211" w:rsidP="00E119E0">
      <w:pPr>
        <w:spacing w:line="240" w:lineRule="auto"/>
        <w:ind w:firstLine="0"/>
        <w:jc w:val="left"/>
      </w:pPr>
    </w:p>
    <w:p w14:paraId="1179593B" w14:textId="77777777" w:rsidR="00317211" w:rsidRDefault="00317211" w:rsidP="00E119E0">
      <w:pPr>
        <w:spacing w:line="240" w:lineRule="auto"/>
        <w:ind w:firstLine="0"/>
        <w:jc w:val="left"/>
      </w:pPr>
    </w:p>
    <w:p w14:paraId="5B3876C8" w14:textId="77777777" w:rsidR="00317211" w:rsidRDefault="00317211" w:rsidP="00E119E0">
      <w:pPr>
        <w:spacing w:line="240" w:lineRule="auto"/>
        <w:ind w:firstLine="0"/>
        <w:jc w:val="left"/>
      </w:pPr>
    </w:p>
    <w:p w14:paraId="4F6C2434" w14:textId="2031AC9A" w:rsidR="00E119E0" w:rsidRDefault="00E119E0" w:rsidP="00E119E0">
      <w:pPr>
        <w:spacing w:line="240" w:lineRule="auto"/>
        <w:ind w:firstLine="0"/>
        <w:jc w:val="left"/>
      </w:pPr>
      <w:r>
        <w:t>Acknowledgement</w:t>
      </w:r>
    </w:p>
    <w:p w14:paraId="02B5B00B" w14:textId="77777777" w:rsidR="00E119E0" w:rsidRPr="008F2227" w:rsidRDefault="00E119E0" w:rsidP="00E119E0">
      <w:pPr>
        <w:spacing w:line="240" w:lineRule="auto"/>
        <w:ind w:firstLine="0"/>
        <w:jc w:val="left"/>
      </w:pPr>
      <w:r>
        <w:rPr>
          <w:rStyle w:val="Emphasis"/>
          <w:rFonts w:ascii="Verdana" w:hAnsi="Verdana"/>
          <w:color w:val="222222"/>
          <w:sz w:val="18"/>
          <w:szCs w:val="18"/>
          <w:bdr w:val="none" w:sz="0" w:space="0" w:color="auto" w:frame="1"/>
        </w:rPr>
        <w:t>"Services in support of the research project were generated by the VCU Massey Cancer Center Biostatistics Shared Resource, supported, in part, with funding from NIH-NCI Cancer Center Support Grant P30 CA016059."</w:t>
      </w:r>
    </w:p>
    <w:p w14:paraId="6EFBDD78" w14:textId="77777777" w:rsidR="00E119E0" w:rsidRDefault="00E119E0" w:rsidP="00E119E0">
      <w:pPr>
        <w:ind w:firstLine="0"/>
        <w:jc w:val="left"/>
      </w:pPr>
    </w:p>
    <w:sectPr w:rsidR="00E119E0" w:rsidSect="003120A3">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CFBCE" w14:textId="77777777" w:rsidR="003957DA" w:rsidRDefault="003957DA" w:rsidP="003120A3">
      <w:pPr>
        <w:spacing w:after="0" w:line="240" w:lineRule="auto"/>
      </w:pPr>
      <w:r>
        <w:separator/>
      </w:r>
    </w:p>
  </w:endnote>
  <w:endnote w:type="continuationSeparator" w:id="0">
    <w:p w14:paraId="7C09F94B" w14:textId="77777777" w:rsidR="003957DA" w:rsidRDefault="003957DA" w:rsidP="0031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F95A9" w14:textId="77777777" w:rsidR="003957DA" w:rsidRDefault="003957DA" w:rsidP="003120A3">
      <w:pPr>
        <w:spacing w:after="0" w:line="240" w:lineRule="auto"/>
      </w:pPr>
      <w:r>
        <w:separator/>
      </w:r>
    </w:p>
  </w:footnote>
  <w:footnote w:type="continuationSeparator" w:id="0">
    <w:p w14:paraId="628112BB" w14:textId="77777777" w:rsidR="003957DA" w:rsidRDefault="003957DA" w:rsidP="00312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DB152" w14:textId="77777777" w:rsidR="00E217F8" w:rsidRPr="003120A3" w:rsidRDefault="00E217F8" w:rsidP="003120A3">
    <w:pPr>
      <w:pStyle w:val="Heading1"/>
      <w:spacing w:before="0" w:line="240" w:lineRule="auto"/>
      <w:jc w:val="left"/>
      <w:rPr>
        <w:b/>
        <w:color w:val="auto"/>
        <w:sz w:val="24"/>
        <w:szCs w:val="24"/>
      </w:rPr>
    </w:pPr>
    <w:r w:rsidRPr="003120A3">
      <w:rPr>
        <w:b/>
        <w:noProof/>
        <w:color w:val="auto"/>
        <w:sz w:val="24"/>
        <w:szCs w:val="24"/>
      </w:rPr>
      <mc:AlternateContent>
        <mc:Choice Requires="wps">
          <w:drawing>
            <wp:anchor distT="0" distB="0" distL="114300" distR="114300" simplePos="0" relativeHeight="251659264" behindDoc="0" locked="0" layoutInCell="1" allowOverlap="1" wp14:anchorId="024EC9F9" wp14:editId="23A6FB73">
              <wp:simplePos x="0" y="0"/>
              <wp:positionH relativeFrom="column">
                <wp:posOffset>-157109</wp:posOffset>
              </wp:positionH>
              <wp:positionV relativeFrom="paragraph">
                <wp:posOffset>-77638</wp:posOffset>
              </wp:positionV>
              <wp:extent cx="3027872" cy="905774"/>
              <wp:effectExtent l="19050" t="19050" r="20320" b="27940"/>
              <wp:wrapNone/>
              <wp:docPr id="1" name="Rectángulo 1"/>
              <wp:cNvGraphicFramePr/>
              <a:graphic xmlns:a="http://schemas.openxmlformats.org/drawingml/2006/main">
                <a:graphicData uri="http://schemas.microsoft.com/office/word/2010/wordprocessingShape">
                  <wps:wsp>
                    <wps:cNvSpPr/>
                    <wps:spPr>
                      <a:xfrm>
                        <a:off x="0" y="0"/>
                        <a:ext cx="3027872" cy="905774"/>
                      </a:xfrm>
                      <a:prstGeom prst="rect">
                        <a:avLst/>
                      </a:prstGeom>
                      <a:no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B4CBD" id="Rectángulo 1" o:spid="_x0000_s1026" style="position:absolute;margin-left:-12.35pt;margin-top:-6.1pt;width:238.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" filled="f" strokecolor="gray [1629]" strokeweight="2.25pt"/>
          </w:pict>
        </mc:Fallback>
      </mc:AlternateContent>
    </w:r>
    <w:r w:rsidRPr="003120A3">
      <w:rPr>
        <w:b/>
        <w:color w:val="auto"/>
        <w:sz w:val="24"/>
        <w:szCs w:val="24"/>
      </w:rPr>
      <w:t>Biostatistics Consulting Laboratory</w:t>
    </w:r>
  </w:p>
  <w:p w14:paraId="37F84ACA" w14:textId="77777777" w:rsidR="00E217F8" w:rsidRPr="003120A3" w:rsidRDefault="00E217F8" w:rsidP="003120A3">
    <w:pPr>
      <w:pStyle w:val="Heading1"/>
      <w:spacing w:before="0" w:line="240" w:lineRule="auto"/>
      <w:jc w:val="left"/>
      <w:rPr>
        <w:b/>
        <w:color w:val="auto"/>
        <w:sz w:val="24"/>
        <w:szCs w:val="24"/>
      </w:rPr>
    </w:pPr>
    <w:r w:rsidRPr="003120A3">
      <w:rPr>
        <w:b/>
        <w:color w:val="auto"/>
        <w:sz w:val="24"/>
        <w:szCs w:val="24"/>
      </w:rPr>
      <w:t>Department of Biostatistics</w:t>
    </w:r>
  </w:p>
  <w:p w14:paraId="4B5A0378" w14:textId="77777777" w:rsidR="00E217F8" w:rsidRPr="003120A3" w:rsidRDefault="00E217F8" w:rsidP="003120A3">
    <w:pPr>
      <w:pStyle w:val="Heading1"/>
      <w:spacing w:before="0" w:line="240" w:lineRule="auto"/>
      <w:jc w:val="left"/>
      <w:rPr>
        <w:b/>
        <w:sz w:val="24"/>
        <w:szCs w:val="24"/>
      </w:rPr>
    </w:pPr>
    <w:r w:rsidRPr="003120A3">
      <w:rPr>
        <w:b/>
        <w:color w:val="auto"/>
        <w:sz w:val="24"/>
        <w:szCs w:val="24"/>
      </w:rPr>
      <w:t>School of Medicine</w:t>
    </w:r>
  </w:p>
  <w:p w14:paraId="5743F57F" w14:textId="77777777" w:rsidR="00E217F8" w:rsidRPr="003120A3" w:rsidRDefault="00E217F8" w:rsidP="003120A3">
    <w:pPr>
      <w:pStyle w:val="Heading1"/>
      <w:spacing w:before="0" w:line="240" w:lineRule="auto"/>
      <w:jc w:val="left"/>
      <w:rPr>
        <w:b/>
        <w:color w:val="FFC000"/>
        <w:sz w:val="24"/>
        <w:szCs w:val="24"/>
      </w:rPr>
    </w:pPr>
    <w:r w:rsidRPr="003120A3">
      <w:rPr>
        <w:b/>
        <w:color w:val="FFC000"/>
        <w:sz w:val="24"/>
        <w:szCs w:val="24"/>
      </w:rPr>
      <w:t>Virginia Commonwealth University</w:t>
    </w:r>
  </w:p>
  <w:p w14:paraId="652E0058" w14:textId="77777777" w:rsidR="00E217F8" w:rsidRDefault="00E217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A3"/>
    <w:rsid w:val="000060B4"/>
    <w:rsid w:val="00034AA1"/>
    <w:rsid w:val="000769A8"/>
    <w:rsid w:val="000E666D"/>
    <w:rsid w:val="00145543"/>
    <w:rsid w:val="00164DF1"/>
    <w:rsid w:val="00165DD6"/>
    <w:rsid w:val="00180D36"/>
    <w:rsid w:val="00203D05"/>
    <w:rsid w:val="00214066"/>
    <w:rsid w:val="002577D8"/>
    <w:rsid w:val="002818BF"/>
    <w:rsid w:val="002848BC"/>
    <w:rsid w:val="002A2566"/>
    <w:rsid w:val="003120A3"/>
    <w:rsid w:val="00317211"/>
    <w:rsid w:val="0033361D"/>
    <w:rsid w:val="0034167B"/>
    <w:rsid w:val="00366711"/>
    <w:rsid w:val="0038505A"/>
    <w:rsid w:val="003957DA"/>
    <w:rsid w:val="00413ED2"/>
    <w:rsid w:val="0043782B"/>
    <w:rsid w:val="00475C99"/>
    <w:rsid w:val="00477DAD"/>
    <w:rsid w:val="004D75D3"/>
    <w:rsid w:val="004F1273"/>
    <w:rsid w:val="00534745"/>
    <w:rsid w:val="005547DF"/>
    <w:rsid w:val="005747D1"/>
    <w:rsid w:val="005C2083"/>
    <w:rsid w:val="005C3700"/>
    <w:rsid w:val="005F7694"/>
    <w:rsid w:val="006525E9"/>
    <w:rsid w:val="006C6D9F"/>
    <w:rsid w:val="006E334C"/>
    <w:rsid w:val="006E3FD0"/>
    <w:rsid w:val="0079596A"/>
    <w:rsid w:val="00797D75"/>
    <w:rsid w:val="007F60FA"/>
    <w:rsid w:val="00821C31"/>
    <w:rsid w:val="008226FA"/>
    <w:rsid w:val="00862EE5"/>
    <w:rsid w:val="00862EF1"/>
    <w:rsid w:val="008867E4"/>
    <w:rsid w:val="00886BF1"/>
    <w:rsid w:val="008A6464"/>
    <w:rsid w:val="008B6F41"/>
    <w:rsid w:val="008F2227"/>
    <w:rsid w:val="009260B4"/>
    <w:rsid w:val="009273B2"/>
    <w:rsid w:val="00934BEA"/>
    <w:rsid w:val="0096084F"/>
    <w:rsid w:val="0097059E"/>
    <w:rsid w:val="00977756"/>
    <w:rsid w:val="009B229D"/>
    <w:rsid w:val="009F37C9"/>
    <w:rsid w:val="00A10FC1"/>
    <w:rsid w:val="00A20AED"/>
    <w:rsid w:val="00A23198"/>
    <w:rsid w:val="00A472F1"/>
    <w:rsid w:val="00A545AA"/>
    <w:rsid w:val="00A77E96"/>
    <w:rsid w:val="00AC5873"/>
    <w:rsid w:val="00B23EBD"/>
    <w:rsid w:val="00B32406"/>
    <w:rsid w:val="00BB275C"/>
    <w:rsid w:val="00BC0844"/>
    <w:rsid w:val="00BD5C5E"/>
    <w:rsid w:val="00BE24AD"/>
    <w:rsid w:val="00C13426"/>
    <w:rsid w:val="00C425AF"/>
    <w:rsid w:val="00C62CB4"/>
    <w:rsid w:val="00C72E44"/>
    <w:rsid w:val="00CC4BE2"/>
    <w:rsid w:val="00CD197D"/>
    <w:rsid w:val="00CF766C"/>
    <w:rsid w:val="00D06FC4"/>
    <w:rsid w:val="00D46111"/>
    <w:rsid w:val="00D61D1B"/>
    <w:rsid w:val="00DC52A2"/>
    <w:rsid w:val="00E119E0"/>
    <w:rsid w:val="00E17444"/>
    <w:rsid w:val="00E217F8"/>
    <w:rsid w:val="00EA4082"/>
    <w:rsid w:val="00FC2AAD"/>
    <w:rsid w:val="00FC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A635"/>
  <w15:chartTrackingRefBased/>
  <w15:docId w15:val="{7F41DDD2-3735-4084-88BC-E4B702483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0A3"/>
    <w:pPr>
      <w:spacing w:line="360" w:lineRule="auto"/>
      <w:ind w:firstLine="432"/>
      <w:jc w:val="both"/>
    </w:pPr>
    <w:rPr>
      <w:rFonts w:asciiTheme="majorHAnsi" w:hAnsiTheme="majorHAnsi"/>
    </w:rPr>
  </w:style>
  <w:style w:type="paragraph" w:styleId="Heading1">
    <w:name w:val="heading 1"/>
    <w:basedOn w:val="Normal"/>
    <w:next w:val="Normal"/>
    <w:link w:val="Heading1Char"/>
    <w:uiPriority w:val="9"/>
    <w:qFormat/>
    <w:rsid w:val="003120A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0A3"/>
    <w:pPr>
      <w:keepNext/>
      <w:keepLines/>
      <w:spacing w:before="40" w:after="0"/>
      <w:ind w:firstLine="0"/>
      <w:jc w:val="left"/>
      <w:outlineLvl w:val="1"/>
    </w:pPr>
    <w:rPr>
      <w:rFonts w:eastAsiaTheme="majorEastAsia" w:cstheme="majorBidi"/>
      <w:b/>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0A3"/>
    <w:rPr>
      <w:rFonts w:asciiTheme="majorHAnsi" w:eastAsiaTheme="majorEastAsia" w:hAnsiTheme="majorHAnsi" w:cstheme="majorBidi"/>
      <w:b/>
      <w:color w:val="7F7F7F" w:themeColor="text1" w:themeTint="80"/>
      <w:szCs w:val="26"/>
    </w:rPr>
  </w:style>
  <w:style w:type="table" w:styleId="TableGrid">
    <w:name w:val="Table Grid"/>
    <w:basedOn w:val="TableNormal"/>
    <w:uiPriority w:val="39"/>
    <w:rsid w:val="00312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0A3"/>
    <w:rPr>
      <w:rFonts w:asciiTheme="majorHAnsi" w:hAnsiTheme="majorHAnsi"/>
    </w:rPr>
  </w:style>
  <w:style w:type="paragraph" w:styleId="Footer">
    <w:name w:val="footer"/>
    <w:basedOn w:val="Normal"/>
    <w:link w:val="FooterChar"/>
    <w:uiPriority w:val="99"/>
    <w:unhideWhenUsed/>
    <w:rsid w:val="0031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0A3"/>
    <w:rPr>
      <w:rFonts w:asciiTheme="majorHAnsi" w:hAnsiTheme="majorHAnsi"/>
    </w:rPr>
  </w:style>
  <w:style w:type="character" w:customStyle="1" w:styleId="Heading1Char">
    <w:name w:val="Heading 1 Char"/>
    <w:basedOn w:val="DefaultParagraphFont"/>
    <w:link w:val="Heading1"/>
    <w:uiPriority w:val="9"/>
    <w:rsid w:val="003120A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E1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8641">
      <w:bodyDiv w:val="1"/>
      <w:marLeft w:val="0"/>
      <w:marRight w:val="0"/>
      <w:marTop w:val="0"/>
      <w:marBottom w:val="0"/>
      <w:divBdr>
        <w:top w:val="none" w:sz="0" w:space="0" w:color="auto"/>
        <w:left w:val="none" w:sz="0" w:space="0" w:color="auto"/>
        <w:bottom w:val="none" w:sz="0" w:space="0" w:color="auto"/>
        <w:right w:val="none" w:sz="0" w:space="0" w:color="auto"/>
      </w:divBdr>
    </w:div>
    <w:div w:id="131994214">
      <w:bodyDiv w:val="1"/>
      <w:marLeft w:val="0"/>
      <w:marRight w:val="0"/>
      <w:marTop w:val="0"/>
      <w:marBottom w:val="0"/>
      <w:divBdr>
        <w:top w:val="none" w:sz="0" w:space="0" w:color="auto"/>
        <w:left w:val="none" w:sz="0" w:space="0" w:color="auto"/>
        <w:bottom w:val="none" w:sz="0" w:space="0" w:color="auto"/>
        <w:right w:val="none" w:sz="0" w:space="0" w:color="auto"/>
      </w:divBdr>
    </w:div>
    <w:div w:id="189532172">
      <w:bodyDiv w:val="1"/>
      <w:marLeft w:val="0"/>
      <w:marRight w:val="0"/>
      <w:marTop w:val="0"/>
      <w:marBottom w:val="0"/>
      <w:divBdr>
        <w:top w:val="none" w:sz="0" w:space="0" w:color="auto"/>
        <w:left w:val="none" w:sz="0" w:space="0" w:color="auto"/>
        <w:bottom w:val="none" w:sz="0" w:space="0" w:color="auto"/>
        <w:right w:val="none" w:sz="0" w:space="0" w:color="auto"/>
      </w:divBdr>
    </w:div>
    <w:div w:id="249628495">
      <w:bodyDiv w:val="1"/>
      <w:marLeft w:val="0"/>
      <w:marRight w:val="0"/>
      <w:marTop w:val="0"/>
      <w:marBottom w:val="0"/>
      <w:divBdr>
        <w:top w:val="none" w:sz="0" w:space="0" w:color="auto"/>
        <w:left w:val="none" w:sz="0" w:space="0" w:color="auto"/>
        <w:bottom w:val="none" w:sz="0" w:space="0" w:color="auto"/>
        <w:right w:val="none" w:sz="0" w:space="0" w:color="auto"/>
      </w:divBdr>
    </w:div>
    <w:div w:id="352221150">
      <w:bodyDiv w:val="1"/>
      <w:marLeft w:val="0"/>
      <w:marRight w:val="0"/>
      <w:marTop w:val="0"/>
      <w:marBottom w:val="0"/>
      <w:divBdr>
        <w:top w:val="none" w:sz="0" w:space="0" w:color="auto"/>
        <w:left w:val="none" w:sz="0" w:space="0" w:color="auto"/>
        <w:bottom w:val="none" w:sz="0" w:space="0" w:color="auto"/>
        <w:right w:val="none" w:sz="0" w:space="0" w:color="auto"/>
      </w:divBdr>
    </w:div>
    <w:div w:id="745108576">
      <w:bodyDiv w:val="1"/>
      <w:marLeft w:val="0"/>
      <w:marRight w:val="0"/>
      <w:marTop w:val="0"/>
      <w:marBottom w:val="0"/>
      <w:divBdr>
        <w:top w:val="none" w:sz="0" w:space="0" w:color="auto"/>
        <w:left w:val="none" w:sz="0" w:space="0" w:color="auto"/>
        <w:bottom w:val="none" w:sz="0" w:space="0" w:color="auto"/>
        <w:right w:val="none" w:sz="0" w:space="0" w:color="auto"/>
      </w:divBdr>
    </w:div>
    <w:div w:id="1174953720">
      <w:bodyDiv w:val="1"/>
      <w:marLeft w:val="0"/>
      <w:marRight w:val="0"/>
      <w:marTop w:val="0"/>
      <w:marBottom w:val="0"/>
      <w:divBdr>
        <w:top w:val="none" w:sz="0" w:space="0" w:color="auto"/>
        <w:left w:val="none" w:sz="0" w:space="0" w:color="auto"/>
        <w:bottom w:val="none" w:sz="0" w:space="0" w:color="auto"/>
        <w:right w:val="none" w:sz="0" w:space="0" w:color="auto"/>
      </w:divBdr>
    </w:div>
    <w:div w:id="1300964031">
      <w:bodyDiv w:val="1"/>
      <w:marLeft w:val="0"/>
      <w:marRight w:val="0"/>
      <w:marTop w:val="0"/>
      <w:marBottom w:val="0"/>
      <w:divBdr>
        <w:top w:val="none" w:sz="0" w:space="0" w:color="auto"/>
        <w:left w:val="none" w:sz="0" w:space="0" w:color="auto"/>
        <w:bottom w:val="none" w:sz="0" w:space="0" w:color="auto"/>
        <w:right w:val="none" w:sz="0" w:space="0" w:color="auto"/>
      </w:divBdr>
    </w:div>
    <w:div w:id="1476095708">
      <w:bodyDiv w:val="1"/>
      <w:marLeft w:val="0"/>
      <w:marRight w:val="0"/>
      <w:marTop w:val="0"/>
      <w:marBottom w:val="0"/>
      <w:divBdr>
        <w:top w:val="none" w:sz="0" w:space="0" w:color="auto"/>
        <w:left w:val="none" w:sz="0" w:space="0" w:color="auto"/>
        <w:bottom w:val="none" w:sz="0" w:space="0" w:color="auto"/>
        <w:right w:val="none" w:sz="0" w:space="0" w:color="auto"/>
      </w:divBdr>
    </w:div>
    <w:div w:id="1492529291">
      <w:bodyDiv w:val="1"/>
      <w:marLeft w:val="0"/>
      <w:marRight w:val="0"/>
      <w:marTop w:val="0"/>
      <w:marBottom w:val="0"/>
      <w:divBdr>
        <w:top w:val="none" w:sz="0" w:space="0" w:color="auto"/>
        <w:left w:val="none" w:sz="0" w:space="0" w:color="auto"/>
        <w:bottom w:val="none" w:sz="0" w:space="0" w:color="auto"/>
        <w:right w:val="none" w:sz="0" w:space="0" w:color="auto"/>
      </w:divBdr>
    </w:div>
    <w:div w:id="1548175736">
      <w:bodyDiv w:val="1"/>
      <w:marLeft w:val="0"/>
      <w:marRight w:val="0"/>
      <w:marTop w:val="0"/>
      <w:marBottom w:val="0"/>
      <w:divBdr>
        <w:top w:val="none" w:sz="0" w:space="0" w:color="auto"/>
        <w:left w:val="none" w:sz="0" w:space="0" w:color="auto"/>
        <w:bottom w:val="none" w:sz="0" w:space="0" w:color="auto"/>
        <w:right w:val="none" w:sz="0" w:space="0" w:color="auto"/>
      </w:divBdr>
    </w:div>
    <w:div w:id="1757360250">
      <w:bodyDiv w:val="1"/>
      <w:marLeft w:val="0"/>
      <w:marRight w:val="0"/>
      <w:marTop w:val="0"/>
      <w:marBottom w:val="0"/>
      <w:divBdr>
        <w:top w:val="none" w:sz="0" w:space="0" w:color="auto"/>
        <w:left w:val="none" w:sz="0" w:space="0" w:color="auto"/>
        <w:bottom w:val="none" w:sz="0" w:space="0" w:color="auto"/>
        <w:right w:val="none" w:sz="0" w:space="0" w:color="auto"/>
      </w:divBdr>
    </w:div>
    <w:div w:id="1893272139">
      <w:bodyDiv w:val="1"/>
      <w:marLeft w:val="0"/>
      <w:marRight w:val="0"/>
      <w:marTop w:val="0"/>
      <w:marBottom w:val="0"/>
      <w:divBdr>
        <w:top w:val="none" w:sz="0" w:space="0" w:color="auto"/>
        <w:left w:val="none" w:sz="0" w:space="0" w:color="auto"/>
        <w:bottom w:val="none" w:sz="0" w:space="0" w:color="auto"/>
        <w:right w:val="none" w:sz="0" w:space="0" w:color="auto"/>
      </w:divBdr>
    </w:div>
    <w:div w:id="208988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3</cp:revision>
  <dcterms:created xsi:type="dcterms:W3CDTF">2018-03-20T04:30:00Z</dcterms:created>
  <dcterms:modified xsi:type="dcterms:W3CDTF">2018-03-20T04:34:00Z</dcterms:modified>
</cp:coreProperties>
</file>