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46D" w:rsidRDefault="000D16A2" w:rsidP="00AD3A05">
      <w:pPr>
        <w:jc w:val="center"/>
        <w:rPr>
          <w:b/>
          <w:bCs/>
          <w:u w:val="single"/>
        </w:rPr>
      </w:pPr>
      <w:r w:rsidRPr="00AD3A05">
        <w:rPr>
          <w:b/>
          <w:bCs/>
          <w:u w:val="single"/>
        </w:rPr>
        <w:t>Color Acuity Project</w:t>
      </w:r>
    </w:p>
    <w:p w:rsidR="00AD3A05" w:rsidRDefault="00AD3A05" w:rsidP="00AD3A05">
      <w:pPr>
        <w:rPr>
          <w:b/>
          <w:bCs/>
          <w:u w:val="single"/>
        </w:rPr>
        <w:sectPr w:rsidR="00AD3A05" w:rsidSect="00AD3A05">
          <w:pgSz w:w="12240" w:h="15840"/>
          <w:pgMar w:top="1440" w:right="1440" w:bottom="1440" w:left="1440" w:header="720" w:footer="720" w:gutter="0"/>
          <w:cols w:space="720"/>
          <w:docGrid w:linePitch="360"/>
        </w:sectPr>
      </w:pPr>
    </w:p>
    <w:p w:rsidR="00AD3A05" w:rsidRPr="00AD3A05" w:rsidRDefault="00AD3A05" w:rsidP="00AD3A05">
      <w:pPr>
        <w:rPr>
          <w:b/>
          <w:bCs/>
          <w:u w:val="single"/>
        </w:rPr>
      </w:pPr>
    </w:p>
    <w:p w:rsidR="000D16A2" w:rsidRPr="00AD3A05" w:rsidRDefault="00334766" w:rsidP="000D16A2">
      <w:pPr>
        <w:rPr>
          <w:b/>
          <w:bCs/>
        </w:rPr>
      </w:pPr>
      <w:r w:rsidRPr="00AD3A05">
        <w:rPr>
          <w:b/>
          <w:bCs/>
        </w:rPr>
        <w:t>Exploratory Data Analysis:</w:t>
      </w:r>
    </w:p>
    <w:p w:rsidR="00334766" w:rsidRDefault="00334766" w:rsidP="00334766">
      <w:pPr>
        <w:pStyle w:val="ListParagraph"/>
        <w:numPr>
          <w:ilvl w:val="0"/>
          <w:numId w:val="1"/>
        </w:numPr>
      </w:pPr>
      <w:r>
        <w:t>Age</w:t>
      </w:r>
    </w:p>
    <w:p w:rsidR="00334766" w:rsidRDefault="00334766" w:rsidP="00AD3A05">
      <w:pPr>
        <w:pStyle w:val="ListParagraph"/>
        <w:ind w:left="0"/>
      </w:pPr>
      <w:r w:rsidRPr="00334766">
        <w:drawing>
          <wp:inline distT="0" distB="0" distL="0" distR="0" wp14:anchorId="324D44C6" wp14:editId="4E78C959">
            <wp:extent cx="2510170" cy="25603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170" cy="2560320"/>
                    </a:xfrm>
                    <a:prstGeom prst="rect">
                      <a:avLst/>
                    </a:prstGeom>
                  </pic:spPr>
                </pic:pic>
              </a:graphicData>
            </a:graphic>
          </wp:inline>
        </w:drawing>
      </w:r>
    </w:p>
    <w:p w:rsidR="00D117C3" w:rsidRDefault="00D117C3" w:rsidP="00D117C3">
      <w:pPr>
        <w:pStyle w:val="ListParagraph"/>
        <w:ind w:left="0"/>
        <w:jc w:val="center"/>
      </w:pPr>
    </w:p>
    <w:p w:rsidR="00D117C3" w:rsidRDefault="00D117C3" w:rsidP="00D117C3">
      <w:pPr>
        <w:pStyle w:val="ListParagraph"/>
        <w:numPr>
          <w:ilvl w:val="0"/>
          <w:numId w:val="1"/>
        </w:numPr>
      </w:pPr>
      <w:r>
        <w:t>Sex</w:t>
      </w:r>
    </w:p>
    <w:p w:rsidR="00D117C3" w:rsidRDefault="00D117C3" w:rsidP="00D117C3">
      <w:pPr>
        <w:pStyle w:val="ListParagraph"/>
        <w:ind w:left="0"/>
        <w:jc w:val="center"/>
      </w:pPr>
      <w:r w:rsidRPr="00D117C3">
        <w:drawing>
          <wp:inline distT="0" distB="0" distL="0" distR="0" wp14:anchorId="0DDA4BDD" wp14:editId="003ACD7F">
            <wp:extent cx="2510169" cy="25603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0169" cy="2560320"/>
                    </a:xfrm>
                    <a:prstGeom prst="rect">
                      <a:avLst/>
                    </a:prstGeom>
                  </pic:spPr>
                </pic:pic>
              </a:graphicData>
            </a:graphic>
          </wp:inline>
        </w:drawing>
      </w:r>
    </w:p>
    <w:p w:rsidR="00D117C3" w:rsidRDefault="00D117C3" w:rsidP="00D117C3">
      <w:pPr>
        <w:pStyle w:val="ListParagraph"/>
        <w:ind w:left="0"/>
        <w:jc w:val="center"/>
      </w:pPr>
    </w:p>
    <w:p w:rsidR="00D117C3" w:rsidRDefault="00D117C3" w:rsidP="00D117C3">
      <w:pPr>
        <w:pStyle w:val="ListParagraph"/>
        <w:ind w:left="0"/>
        <w:jc w:val="center"/>
      </w:pPr>
    </w:p>
    <w:p w:rsidR="00D117C3" w:rsidRDefault="00D117C3" w:rsidP="00D117C3">
      <w:pPr>
        <w:pStyle w:val="ListParagraph"/>
        <w:ind w:left="0"/>
        <w:jc w:val="center"/>
      </w:pPr>
    </w:p>
    <w:p w:rsidR="00D117C3" w:rsidRDefault="00D117C3" w:rsidP="00AD3A05">
      <w:pPr>
        <w:pStyle w:val="ListParagraph"/>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AD3A05">
      <w:pPr>
        <w:pStyle w:val="ListParagraph"/>
        <w:ind w:left="0"/>
      </w:pPr>
    </w:p>
    <w:p w:rsidR="00AD3A05" w:rsidRDefault="00AD3A05" w:rsidP="00AD3A05">
      <w:pPr>
        <w:pStyle w:val="ListParagraph"/>
        <w:numPr>
          <w:ilvl w:val="0"/>
          <w:numId w:val="1"/>
        </w:numPr>
      </w:pPr>
      <w:r>
        <w:t>PAT</w:t>
      </w:r>
    </w:p>
    <w:p w:rsidR="00D117C3" w:rsidRDefault="00D117C3" w:rsidP="00D117C3">
      <w:pPr>
        <w:pStyle w:val="ListParagraph"/>
        <w:ind w:left="0"/>
        <w:jc w:val="center"/>
      </w:pPr>
      <w:r w:rsidRPr="00D117C3">
        <w:drawing>
          <wp:inline distT="0" distB="0" distL="0" distR="0" wp14:anchorId="7115AC39" wp14:editId="7F142B93">
            <wp:extent cx="2510171" cy="25603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171" cy="2560320"/>
                    </a:xfrm>
                    <a:prstGeom prst="rect">
                      <a:avLst/>
                    </a:prstGeom>
                  </pic:spPr>
                </pic:pic>
              </a:graphicData>
            </a:graphic>
          </wp:inline>
        </w:drawing>
      </w:r>
    </w:p>
    <w:p w:rsidR="00D117C3" w:rsidRDefault="00D117C3" w:rsidP="00D117C3">
      <w:pPr>
        <w:pStyle w:val="ListParagraph"/>
        <w:ind w:left="0"/>
        <w:jc w:val="center"/>
      </w:pPr>
    </w:p>
    <w:p w:rsidR="00D117C3" w:rsidRDefault="00D117C3" w:rsidP="00D117C3">
      <w:pPr>
        <w:pStyle w:val="ListParagraph"/>
        <w:numPr>
          <w:ilvl w:val="0"/>
          <w:numId w:val="1"/>
        </w:numPr>
      </w:pPr>
      <w:r>
        <w:t>Ethnicity</w:t>
      </w:r>
    </w:p>
    <w:p w:rsidR="00D117C3" w:rsidRDefault="00D117C3" w:rsidP="00D117C3">
      <w:pPr>
        <w:jc w:val="center"/>
      </w:pPr>
      <w:r w:rsidRPr="00D117C3">
        <w:drawing>
          <wp:inline distT="0" distB="0" distL="0" distR="0" wp14:anchorId="4ED92D78" wp14:editId="3B9E778C">
            <wp:extent cx="2510170" cy="25603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70" cy="2560320"/>
                    </a:xfrm>
                    <a:prstGeom prst="rect">
                      <a:avLst/>
                    </a:prstGeom>
                  </pic:spPr>
                </pic:pic>
              </a:graphicData>
            </a:graphic>
          </wp:inline>
        </w:drawing>
      </w:r>
    </w:p>
    <w:p w:rsidR="00D117C3" w:rsidRDefault="00D117C3" w:rsidP="00D117C3">
      <w:pPr>
        <w:jc w:val="center"/>
      </w:pPr>
    </w:p>
    <w:p w:rsidR="00D117C3" w:rsidRDefault="00D117C3" w:rsidP="00D117C3">
      <w:pPr>
        <w:jc w:val="center"/>
      </w:pPr>
    </w:p>
    <w:p w:rsidR="00D117C3" w:rsidRDefault="00D117C3"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D117C3" w:rsidRDefault="00D117C3" w:rsidP="00D117C3">
      <w:pPr>
        <w:pStyle w:val="ListParagraph"/>
        <w:numPr>
          <w:ilvl w:val="0"/>
          <w:numId w:val="1"/>
        </w:numPr>
      </w:pPr>
      <w:r>
        <w:t>TES</w:t>
      </w:r>
    </w:p>
    <w:p w:rsidR="00D117C3" w:rsidRDefault="00D117C3" w:rsidP="00D117C3">
      <w:pPr>
        <w:jc w:val="center"/>
      </w:pPr>
      <w:r w:rsidRPr="00D117C3">
        <w:drawing>
          <wp:inline distT="0" distB="0" distL="0" distR="0" wp14:anchorId="43A9F371" wp14:editId="45771D46">
            <wp:extent cx="2510170" cy="25603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0170" cy="2560320"/>
                    </a:xfrm>
                    <a:prstGeom prst="rect">
                      <a:avLst/>
                    </a:prstGeom>
                  </pic:spPr>
                </pic:pic>
              </a:graphicData>
            </a:graphic>
          </wp:inline>
        </w:drawing>
      </w:r>
    </w:p>
    <w:p w:rsidR="00D117C3" w:rsidRDefault="00D117C3" w:rsidP="00D117C3">
      <w:pPr>
        <w:jc w:val="center"/>
      </w:pPr>
    </w:p>
    <w:p w:rsidR="00D117C3" w:rsidRDefault="00D117C3" w:rsidP="00D117C3">
      <w:pPr>
        <w:pStyle w:val="ListParagraph"/>
        <w:numPr>
          <w:ilvl w:val="0"/>
          <w:numId w:val="1"/>
        </w:numPr>
      </w:pPr>
      <w:r>
        <w:t>Time to completion of test</w:t>
      </w:r>
    </w:p>
    <w:p w:rsidR="00D117C3" w:rsidRDefault="00D117C3" w:rsidP="00AD3A05">
      <w:pPr>
        <w:jc w:val="center"/>
      </w:pPr>
      <w:r w:rsidRPr="00D117C3">
        <w:drawing>
          <wp:inline distT="0" distB="0" distL="0" distR="0" wp14:anchorId="27744C26" wp14:editId="72EC2AB9">
            <wp:extent cx="2510170" cy="25603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170" cy="2560320"/>
                    </a:xfrm>
                    <a:prstGeom prst="rect">
                      <a:avLst/>
                    </a:prstGeom>
                  </pic:spPr>
                </pic:pic>
              </a:graphicData>
            </a:graphic>
          </wp:inline>
        </w:drawing>
      </w:r>
      <w:r w:rsidR="00AD3A05" w:rsidRPr="00AD3A05">
        <w:t xml:space="preserve"> </w:t>
      </w:r>
      <w:r w:rsidR="00AD3A05">
        <w:rPr>
          <w:noProof/>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4A9A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AD3A05" w:rsidRDefault="00AD3A05"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D117C3" w:rsidRDefault="00AD3A05" w:rsidP="00D117C3">
      <w:pPr>
        <w:pStyle w:val="ListParagraph"/>
        <w:numPr>
          <w:ilvl w:val="0"/>
          <w:numId w:val="1"/>
        </w:numPr>
      </w:pPr>
      <w:r>
        <w:t>Color Acuity Score</w:t>
      </w:r>
    </w:p>
    <w:p w:rsidR="00AD3A05" w:rsidRDefault="00AD3A05" w:rsidP="00AD3A05">
      <w:pPr>
        <w:jc w:val="center"/>
      </w:pPr>
      <w:r w:rsidRPr="00AD3A05">
        <w:drawing>
          <wp:inline distT="0" distB="0" distL="0" distR="0" wp14:anchorId="7A043AA1" wp14:editId="7F696160">
            <wp:extent cx="2510170" cy="25603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170" cy="2560320"/>
                    </a:xfrm>
                    <a:prstGeom prst="rect">
                      <a:avLst/>
                    </a:prstGeom>
                  </pic:spPr>
                </pic:pic>
              </a:graphicData>
            </a:graphic>
          </wp:inline>
        </w:drawing>
      </w: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ind w:right="-5040"/>
        <w:jc w:val="center"/>
        <w:sectPr w:rsidR="00AD3A05" w:rsidSect="00AD3A05">
          <w:type w:val="continuous"/>
          <w:pgSz w:w="12240" w:h="15840"/>
          <w:pgMar w:top="1440" w:right="1440" w:bottom="1440" w:left="1440" w:header="720" w:footer="720" w:gutter="0"/>
          <w:cols w:num="2" w:space="720"/>
          <w:docGrid w:linePitch="360"/>
        </w:sectPr>
      </w:pPr>
    </w:p>
    <w:p w:rsidR="00AD3A05" w:rsidRDefault="00AD3A05" w:rsidP="00AD3A05">
      <w:r w:rsidRPr="00AD3A05">
        <w:rPr>
          <w:b/>
          <w:bCs/>
        </w:rPr>
        <w:lastRenderedPageBreak/>
        <w:t>Data Analysis</w:t>
      </w:r>
      <w:r>
        <w:rPr>
          <w:b/>
          <w:bCs/>
        </w:rPr>
        <w:t>:</w:t>
      </w:r>
    </w:p>
    <w:p w:rsidR="00AD3A05" w:rsidRDefault="00AD3A05" w:rsidP="00AD3A05">
      <w:pPr>
        <w:pStyle w:val="ListParagraph"/>
        <w:numPr>
          <w:ilvl w:val="0"/>
          <w:numId w:val="2"/>
        </w:numPr>
        <w:sectPr w:rsidR="00AD3A05" w:rsidSect="00585B2D">
          <w:type w:val="continuous"/>
          <w:pgSz w:w="12240" w:h="15840"/>
          <w:pgMar w:top="1440" w:right="1440" w:bottom="1440" w:left="1440" w:header="720" w:footer="720" w:gutter="0"/>
          <w:cols w:space="720"/>
          <w:docGrid w:linePitch="360"/>
        </w:sectPr>
      </w:pPr>
    </w:p>
    <w:p w:rsidR="00AD3A05" w:rsidRDefault="00AD3A05" w:rsidP="00AD3A05">
      <w:pPr>
        <w:pStyle w:val="ListParagraph"/>
        <w:numPr>
          <w:ilvl w:val="0"/>
          <w:numId w:val="2"/>
        </w:numPr>
      </w:pPr>
      <w:r w:rsidRPr="00AD3A05">
        <w:t>Is there a difference in sex regarding PAT</w:t>
      </w:r>
      <w:r w:rsidR="00585B2D">
        <w:t xml:space="preserve"> or TES</w:t>
      </w:r>
      <w:r w:rsidRPr="00AD3A05">
        <w:t xml:space="preserve"> score</w:t>
      </w:r>
      <w:r>
        <w:t>?</w:t>
      </w:r>
    </w:p>
    <w:p w:rsidR="00AD3A05" w:rsidRDefault="00AD3A05" w:rsidP="00585B2D">
      <w:r w:rsidRPr="00AD3A05">
        <w:drawing>
          <wp:inline distT="0" distB="0" distL="0" distR="0" wp14:anchorId="6E4AAC8C" wp14:editId="605CBA05">
            <wp:extent cx="2730924" cy="2785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013" cy="2827395"/>
                    </a:xfrm>
                    <a:prstGeom prst="rect">
                      <a:avLst/>
                    </a:prstGeom>
                  </pic:spPr>
                </pic:pic>
              </a:graphicData>
            </a:graphic>
          </wp:inline>
        </w:drawing>
      </w:r>
      <w:r w:rsidR="00585B2D" w:rsidRPr="00585B2D">
        <w:drawing>
          <wp:inline distT="0" distB="0" distL="0" distR="0" wp14:anchorId="465BC9B5" wp14:editId="35894503">
            <wp:extent cx="2736242" cy="2790908"/>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436" cy="2814566"/>
                    </a:xfrm>
                    <a:prstGeom prst="rect">
                      <a:avLst/>
                    </a:prstGeom>
                  </pic:spPr>
                </pic:pic>
              </a:graphicData>
            </a:graphic>
          </wp:inline>
        </w:drawing>
      </w:r>
    </w:p>
    <w:p w:rsidR="00585B2D" w:rsidRDefault="00585B2D" w:rsidP="00585B2D">
      <w:r>
        <w:t>The p-values from the statistical tests indicate that PAT and TES scores are significantly different between males and females. A two-sample Student’s t-test was performed for PAT score (p=0.0025), while a two-sample nonparametric Wilcoxon Rank-Sum test was performed for TES score to account for nonnormality (p=0.025).</w:t>
      </w:r>
    </w:p>
    <w:p w:rsidR="00585B2D" w:rsidRDefault="00585B2D" w:rsidP="00585B2D"/>
    <w:p w:rsidR="00585B2D" w:rsidRDefault="00585B2D" w:rsidP="00585B2D">
      <w:pPr>
        <w:pStyle w:val="ListParagraph"/>
        <w:numPr>
          <w:ilvl w:val="0"/>
          <w:numId w:val="2"/>
        </w:numPr>
      </w:pPr>
      <w:r w:rsidRPr="00585B2D">
        <w:t>Is there a difference in ethnicity regarding PAT</w:t>
      </w:r>
      <w:r>
        <w:t xml:space="preserve"> or TES</w:t>
      </w:r>
      <w:r w:rsidRPr="00585B2D">
        <w:t xml:space="preserve"> score</w:t>
      </w:r>
      <w:r>
        <w:t>?</w:t>
      </w:r>
    </w:p>
    <w:p w:rsidR="00585B2D" w:rsidRDefault="00585B2D" w:rsidP="00585B2D">
      <w:r w:rsidRPr="00585B2D">
        <w:drawing>
          <wp:inline distT="0" distB="0" distL="0" distR="0" wp14:anchorId="634AF2F6" wp14:editId="2A09F26D">
            <wp:extent cx="2537454" cy="258814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4045" cy="2605072"/>
                    </a:xfrm>
                    <a:prstGeom prst="rect">
                      <a:avLst/>
                    </a:prstGeom>
                  </pic:spPr>
                </pic:pic>
              </a:graphicData>
            </a:graphic>
          </wp:inline>
        </w:drawing>
      </w:r>
      <w:r w:rsidR="00A52F0D" w:rsidRPr="00A52F0D">
        <w:drawing>
          <wp:inline distT="0" distB="0" distL="0" distR="0" wp14:anchorId="44EFF88D" wp14:editId="5468FF83">
            <wp:extent cx="2533557" cy="2584174"/>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67" cy="2613458"/>
                    </a:xfrm>
                    <a:prstGeom prst="rect">
                      <a:avLst/>
                    </a:prstGeom>
                  </pic:spPr>
                </pic:pic>
              </a:graphicData>
            </a:graphic>
          </wp:inline>
        </w:drawing>
      </w:r>
    </w:p>
    <w:p w:rsidR="00A52F0D" w:rsidRDefault="00A52F0D" w:rsidP="00585B2D">
      <w:r>
        <w:t xml:space="preserve">Pairwise statistical tests were performed between each ethnicity category. P-values derived from </w:t>
      </w:r>
      <w:r>
        <w:t>Student’s t-test</w:t>
      </w:r>
      <w:r>
        <w:t>s for PAT and Wilcoxon Rank-Sum tests for TES are proved above each pairwise test.</w:t>
      </w:r>
    </w:p>
    <w:p w:rsidR="00A52F0D" w:rsidRDefault="00A52F0D" w:rsidP="00A52F0D">
      <w:pPr>
        <w:pStyle w:val="ListParagraph"/>
        <w:numPr>
          <w:ilvl w:val="0"/>
          <w:numId w:val="2"/>
        </w:numPr>
      </w:pPr>
      <w:r w:rsidRPr="00A52F0D">
        <w:lastRenderedPageBreak/>
        <w:t>Does higher PAT correlate with lower TES (better performance on FM-100)</w:t>
      </w:r>
      <w:r>
        <w:t>?</w:t>
      </w:r>
    </w:p>
    <w:p w:rsidR="00A52F0D" w:rsidRDefault="00A52F0D" w:rsidP="00A52F0D">
      <w:pPr>
        <w:jc w:val="center"/>
      </w:pPr>
      <w:r w:rsidRPr="00A52F0D">
        <w:drawing>
          <wp:inline distT="0" distB="0" distL="0" distR="0" wp14:anchorId="1EC73F30" wp14:editId="4572B0A9">
            <wp:extent cx="2273745" cy="2319172"/>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0843" cy="2346812"/>
                    </a:xfrm>
                    <a:prstGeom prst="rect">
                      <a:avLst/>
                    </a:prstGeom>
                  </pic:spPr>
                </pic:pic>
              </a:graphicData>
            </a:graphic>
          </wp:inline>
        </w:drawing>
      </w:r>
    </w:p>
    <w:p w:rsidR="00A52F0D" w:rsidRDefault="00A52F0D" w:rsidP="00A52F0D">
      <w:r>
        <w:t>The Spearman Rank correlation coefficient suggests a strong negative relationship between PAT score and TES score, indicating that higher PAT scores correlate with lower TES scores (p=0.0003). The loess curve (blue line)</w:t>
      </w:r>
      <w:r w:rsidR="00EF280D">
        <w:t>, followed by its 95% confidence band (grey region),</w:t>
      </w:r>
      <w:r>
        <w:t xml:space="preserve"> shows the </w:t>
      </w:r>
      <w:r w:rsidR="00EF280D">
        <w:t>general trend of the relationship.</w:t>
      </w:r>
    </w:p>
    <w:p w:rsidR="00EF280D" w:rsidRDefault="00EF280D" w:rsidP="00A52F0D"/>
    <w:p w:rsidR="00CC38E2" w:rsidRDefault="00EF280D" w:rsidP="00CC38E2">
      <w:pPr>
        <w:pStyle w:val="ListParagraph"/>
        <w:numPr>
          <w:ilvl w:val="0"/>
          <w:numId w:val="2"/>
        </w:numPr>
      </w:pPr>
      <w:r w:rsidRPr="00EF280D">
        <w:t>Does time of completion correlate with better performance</w:t>
      </w:r>
      <w:r>
        <w:t>?</w:t>
      </w:r>
    </w:p>
    <w:p w:rsidR="00CC38E2" w:rsidRDefault="00CC38E2" w:rsidP="00CC38E2">
      <w:pPr>
        <w:pStyle w:val="ListParagraph"/>
      </w:pPr>
    </w:p>
    <w:p w:rsidR="00EF280D" w:rsidRDefault="00CC38E2" w:rsidP="00CC38E2">
      <w:pPr>
        <w:pStyle w:val="ListParagraph"/>
        <w:numPr>
          <w:ilvl w:val="0"/>
          <w:numId w:val="1"/>
        </w:numPr>
      </w:pPr>
      <w:r>
        <w:t>Using continuous performance (TES score)</w:t>
      </w:r>
    </w:p>
    <w:p w:rsidR="00CC38E2" w:rsidRDefault="00CC38E2" w:rsidP="00CC38E2">
      <w:pPr>
        <w:jc w:val="center"/>
      </w:pPr>
      <w:r w:rsidRPr="00CC38E2">
        <w:drawing>
          <wp:inline distT="0" distB="0" distL="0" distR="0" wp14:anchorId="34AB75CD" wp14:editId="5E44BC42">
            <wp:extent cx="2413221" cy="246143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31" cy="2477764"/>
                    </a:xfrm>
                    <a:prstGeom prst="rect">
                      <a:avLst/>
                    </a:prstGeom>
                  </pic:spPr>
                </pic:pic>
              </a:graphicData>
            </a:graphic>
          </wp:inline>
        </w:drawing>
      </w:r>
    </w:p>
    <w:p w:rsidR="00CC38E2" w:rsidRDefault="00CC38E2" w:rsidP="00CC38E2">
      <w:r>
        <w:t xml:space="preserve">The Spearman Rank correlation coefficient suggests a strong negative relationship between </w:t>
      </w:r>
      <w:r>
        <w:t>TES</w:t>
      </w:r>
      <w:r>
        <w:t xml:space="preserve"> score and </w:t>
      </w:r>
      <w:r>
        <w:t>time of completed test</w:t>
      </w:r>
      <w:r>
        <w:t xml:space="preserve">, indicating that higher </w:t>
      </w:r>
      <w:r>
        <w:t>TES</w:t>
      </w:r>
      <w:r>
        <w:t xml:space="preserve"> scores</w:t>
      </w:r>
      <w:r>
        <w:t xml:space="preserve"> (worse scores)</w:t>
      </w:r>
      <w:r>
        <w:t xml:space="preserve"> correlate with lower </w:t>
      </w:r>
      <w:r>
        <w:t xml:space="preserve">times of completion </w:t>
      </w:r>
      <w:r>
        <w:t>(p</w:t>
      </w:r>
      <w:r>
        <w:t>&lt;0.0001</w:t>
      </w:r>
      <w:r>
        <w:t>). The loess curve (blue line), followed by its 95% confidence band (grey region), shows the general trend of the relationship.</w:t>
      </w:r>
    </w:p>
    <w:p w:rsidR="00CC38E2" w:rsidRDefault="00CC38E2" w:rsidP="00CC38E2"/>
    <w:p w:rsidR="00CC38E2" w:rsidRDefault="00CC38E2" w:rsidP="00CC38E2">
      <w:pPr>
        <w:pStyle w:val="ListParagraph"/>
        <w:numPr>
          <w:ilvl w:val="0"/>
          <w:numId w:val="1"/>
        </w:numPr>
      </w:pPr>
      <w:r>
        <w:lastRenderedPageBreak/>
        <w:t xml:space="preserve">Using </w:t>
      </w:r>
      <w:bookmarkStart w:id="0" w:name="_GoBack"/>
      <w:bookmarkEnd w:id="0"/>
      <w:r>
        <w:t>categorical performance (Color Acuity)</w:t>
      </w:r>
    </w:p>
    <w:p w:rsidR="00CC38E2" w:rsidRDefault="00CC38E2" w:rsidP="00CC38E2">
      <w:pPr>
        <w:jc w:val="center"/>
      </w:pPr>
      <w:r w:rsidRPr="00CC38E2">
        <w:drawing>
          <wp:inline distT="0" distB="0" distL="0" distR="0" wp14:anchorId="73A65FFD" wp14:editId="33AC0875">
            <wp:extent cx="2775221" cy="2830665"/>
            <wp:effectExtent l="0" t="0" r="635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2943" cy="2848741"/>
                    </a:xfrm>
                    <a:prstGeom prst="rect">
                      <a:avLst/>
                    </a:prstGeom>
                  </pic:spPr>
                </pic:pic>
              </a:graphicData>
            </a:graphic>
          </wp:inline>
        </w:drawing>
      </w:r>
    </w:p>
    <w:p w:rsidR="00CC04EB" w:rsidRDefault="00CC04EB" w:rsidP="00CC04EB">
      <w:r>
        <w:t>Pairwise statistical tests</w:t>
      </w:r>
      <w:r>
        <w:t xml:space="preserve"> using Wilcoxon Rank-Sum tests</w:t>
      </w:r>
      <w:r>
        <w:t xml:space="preserve"> were performed between each </w:t>
      </w:r>
      <w:r>
        <w:t>color acuity</w:t>
      </w:r>
      <w:r>
        <w:t xml:space="preserve"> category. </w:t>
      </w:r>
      <w:r>
        <w:t>Each pairwise difference was found to be significantly different. The overall trend confirms what was seen in the continuous case above. That is, worse color acuity was associated with shorter time to completion of the Farnsworth-Munsell-100 Hue test.</w:t>
      </w:r>
    </w:p>
    <w:p w:rsidR="00CC38E2" w:rsidRDefault="00CC38E2" w:rsidP="00CC38E2"/>
    <w:p w:rsidR="00CC38E2" w:rsidRDefault="00CC38E2" w:rsidP="00CC38E2"/>
    <w:p w:rsidR="00585B2D" w:rsidRDefault="00585B2D" w:rsidP="00585B2D"/>
    <w:sectPr w:rsidR="00585B2D" w:rsidSect="00585B2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320E"/>
    <w:multiLevelType w:val="hybridMultilevel"/>
    <w:tmpl w:val="A498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77E12"/>
    <w:multiLevelType w:val="hybridMultilevel"/>
    <w:tmpl w:val="C7A4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A2"/>
    <w:rsid w:val="000D16A2"/>
    <w:rsid w:val="00334766"/>
    <w:rsid w:val="00351F8F"/>
    <w:rsid w:val="00585B2D"/>
    <w:rsid w:val="00A52F0D"/>
    <w:rsid w:val="00AD3A05"/>
    <w:rsid w:val="00CC04EB"/>
    <w:rsid w:val="00CC38E2"/>
    <w:rsid w:val="00D117C3"/>
    <w:rsid w:val="00E4446D"/>
    <w:rsid w:val="00E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0F01"/>
  <w15:chartTrackingRefBased/>
  <w15:docId w15:val="{89FB1FC0-EBDB-43F0-BDF3-FBA8E127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2</cp:revision>
  <dcterms:created xsi:type="dcterms:W3CDTF">2019-09-14T00:49:00Z</dcterms:created>
  <dcterms:modified xsi:type="dcterms:W3CDTF">2019-09-14T03:09:00Z</dcterms:modified>
</cp:coreProperties>
</file>