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7C4B4" w14:textId="77777777" w:rsidR="00275611" w:rsidRDefault="00935B27">
      <w:pPr>
        <w:pStyle w:val="Title"/>
      </w:pPr>
      <w:r>
        <w:t>preciseTAD: A machine learning framework for precise 3D domain boundary prediction at base-level resolution</w:t>
      </w:r>
    </w:p>
    <w:p w14:paraId="37A22042" w14:textId="77777777" w:rsidR="00275611" w:rsidRDefault="00935B27">
      <w:pPr>
        <w:pStyle w:val="FirstParagraph"/>
      </w:pPr>
      <w:r>
        <w:t>Spiro C. Stilianoudakis</w:t>
      </w:r>
      <w:r>
        <w:rPr>
          <w:vertAlign w:val="superscript"/>
        </w:rPr>
        <w:t>1</w:t>
      </w:r>
      <w:r>
        <w:t xml:space="preserve"> (</w:t>
      </w:r>
      <w:hyperlink r:id="rId7">
        <w:r>
          <w:rPr>
            <w:rStyle w:val="Hyperlink"/>
          </w:rPr>
          <w:t>stilianoudasc@mymail.vcu.edu</w:t>
        </w:r>
      </w:hyperlink>
      <w:r>
        <w:t>), Mikhail G. Dozmorov</w:t>
      </w:r>
      <w:r>
        <w:rPr>
          <w:vertAlign w:val="superscript"/>
        </w:rPr>
        <w:t>1*</w:t>
      </w:r>
      <w:r>
        <w:t xml:space="preserve"> (</w:t>
      </w:r>
      <w:hyperlink r:id="rId8">
        <w:r>
          <w:rPr>
            <w:rStyle w:val="Hyperlink"/>
          </w:rPr>
          <w:t>mikhail.dozmorov@vcuhealth.org</w:t>
        </w:r>
      </w:hyperlink>
      <w:r>
        <w:t>)</w:t>
      </w:r>
    </w:p>
    <w:p w14:paraId="61BC48FC" w14:textId="77777777" w:rsidR="00275611" w:rsidRDefault="00935B27">
      <w:pPr>
        <w:pStyle w:val="BodyText"/>
      </w:pPr>
      <w:r>
        <w:rPr>
          <w:vertAlign w:val="superscript"/>
        </w:rPr>
        <w:t>1</w:t>
      </w:r>
      <w:r>
        <w:t xml:space="preserve"> Dept. of Biostatistics, Virginia Commonwealth University, Richmond, VA, 23298, USA</w:t>
      </w:r>
      <w:r>
        <w:br/>
      </w:r>
      <w:r>
        <w:rPr>
          <w:vertAlign w:val="superscript"/>
        </w:rPr>
        <w:t>*</w:t>
      </w:r>
      <w:r>
        <w:t xml:space="preserve"> To whom correspondence should be addressed: Virginia C</w:t>
      </w:r>
      <w:r>
        <w:t xml:space="preserve">ommonwealth University, Richmond, VA, 23298, 804-827-2055, </w:t>
      </w:r>
      <w:hyperlink r:id="rId9">
        <w:r>
          <w:rPr>
            <w:rStyle w:val="Hyperlink"/>
          </w:rPr>
          <w:t>mikhail.dozmorov@vcuhealth.org</w:t>
        </w:r>
      </w:hyperlink>
    </w:p>
    <w:p w14:paraId="7EF5A3BC" w14:textId="77777777" w:rsidR="005863CA" w:rsidRDefault="005863CA">
      <w:pPr>
        <w:pStyle w:val="Heading1"/>
      </w:pPr>
      <w:bookmarkStart w:id="0" w:name="abstract"/>
    </w:p>
    <w:p w14:paraId="017A859C" w14:textId="77777777" w:rsidR="005863CA" w:rsidRDefault="005863CA">
      <w:pPr>
        <w:pStyle w:val="Heading1"/>
      </w:pPr>
    </w:p>
    <w:p w14:paraId="1A66FDF1" w14:textId="77777777" w:rsidR="005863CA" w:rsidRDefault="005863CA">
      <w:pPr>
        <w:pStyle w:val="Heading1"/>
      </w:pPr>
    </w:p>
    <w:p w14:paraId="0DF21DE0" w14:textId="77777777" w:rsidR="005863CA" w:rsidRDefault="005863CA">
      <w:pPr>
        <w:pStyle w:val="Heading1"/>
      </w:pPr>
    </w:p>
    <w:p w14:paraId="3B7957D7" w14:textId="77777777" w:rsidR="005863CA" w:rsidRDefault="005863CA">
      <w:pPr>
        <w:pStyle w:val="Heading1"/>
      </w:pPr>
    </w:p>
    <w:p w14:paraId="268EAD49" w14:textId="3BF75B69" w:rsidR="005863CA" w:rsidRDefault="005863CA">
      <w:pPr>
        <w:pStyle w:val="Heading1"/>
      </w:pPr>
    </w:p>
    <w:p w14:paraId="1B7A9686" w14:textId="77777777" w:rsidR="005863CA" w:rsidRPr="005863CA" w:rsidRDefault="005863CA" w:rsidP="005863CA">
      <w:pPr>
        <w:pStyle w:val="BodyText"/>
      </w:pPr>
    </w:p>
    <w:p w14:paraId="0F48D08E" w14:textId="046EB7D2" w:rsidR="00275611" w:rsidRDefault="00935B27">
      <w:pPr>
        <w:pStyle w:val="Heading1"/>
      </w:pPr>
      <w:r>
        <w:lastRenderedPageBreak/>
        <w:t>Abstract</w:t>
      </w:r>
      <w:bookmarkEnd w:id="0"/>
    </w:p>
    <w:p w14:paraId="7775855D" w14:textId="77777777" w:rsidR="00275611" w:rsidRDefault="00935B27">
      <w:pPr>
        <w:pStyle w:val="FirstParagraph"/>
      </w:pPr>
      <w:r>
        <w:t>The low resolution of high-throughput chromatin conformation capture data limits the precise mapping</w:t>
      </w:r>
      <w:r>
        <w:t xml:space="preserve"> of boundaries of topologically associating domains and chromatin loops. We developed preciseTAD, an optimized random forest model trained on high-resolution genome annotation data (e.g., CTCF ChIP-seq) to predicts the location of domain boundaries at base</w:t>
      </w:r>
      <w:r>
        <w:t>-level resolution. Distance between boundaries and annotations, random under-sampling, and transcription factor binding sites resulted in best model performance. preciseTAD boundaries were more enriched for CTCF, RAD21, SMC3, and ZNF143, conserved across c</w:t>
      </w:r>
      <w:r>
        <w:t xml:space="preserve">ell lines. Using genome annotations, the pre-trained models can detect boundaries in cells without Hi-C data. preciseTAD is available at </w:t>
      </w:r>
      <w:hyperlink r:id="rId10">
        <w:r>
          <w:rPr>
            <w:rStyle w:val="Hyperlink"/>
          </w:rPr>
          <w:t>https://bioconductor.org/packages/preciseTAD</w:t>
        </w:r>
      </w:hyperlink>
      <w:r>
        <w:t xml:space="preserve"> </w:t>
      </w:r>
    </w:p>
    <w:p w14:paraId="728A404F" w14:textId="77777777" w:rsidR="00275611" w:rsidRDefault="00935B27">
      <w:pPr>
        <w:pStyle w:val="Heading1"/>
      </w:pPr>
      <w:bookmarkStart w:id="1" w:name="keywords"/>
      <w:r>
        <w:t>Keywords</w:t>
      </w:r>
      <w:bookmarkEnd w:id="1"/>
    </w:p>
    <w:p w14:paraId="3CD21CE5" w14:textId="77777777" w:rsidR="00275611" w:rsidRDefault="00935B27">
      <w:pPr>
        <w:pStyle w:val="FirstParagraph"/>
      </w:pPr>
      <w:r>
        <w:t>Hi-C, TAD, chromatin, machine learning, random forest, spatial clustering</w:t>
      </w:r>
    </w:p>
    <w:p w14:paraId="63AB6351" w14:textId="77777777" w:rsidR="00275611" w:rsidRDefault="00935B27">
      <w:pPr>
        <w:pStyle w:val="Heading1"/>
      </w:pPr>
      <w:bookmarkStart w:id="2" w:name="background"/>
      <w:r>
        <w:t>Background</w:t>
      </w:r>
      <w:bookmarkEnd w:id="2"/>
    </w:p>
    <w:p w14:paraId="410E0A5E" w14:textId="77777777" w:rsidR="00275611" w:rsidRDefault="00935B27">
      <w:pPr>
        <w:pStyle w:val="FirstParagraph"/>
      </w:pPr>
      <w:r>
        <w:t>The advent of chromosome conformation capture (3C) sequencing technologies, and its successor Hi-C, have revealed a hierarchy of the 3-dimensional (3D) structure of the hu</w:t>
      </w:r>
      <w:r>
        <w:t>man genome such as chromatin loops [1], Topologically Associating Domains (TADs) [2,3], and A/B compartments [4]. At the kilobase scale, chromatin loops connect gene promoters with distal enhancers, thereby regulating gene expression [5,6]. At the megabase</w:t>
      </w:r>
      <w:r>
        <w:t xml:space="preserve"> scale, TADs represent regions on the linear genome, that are highly self-interacting.  Disruption of boundaries demarcating TADs and loops promotes cancer [7,8] and other disorders [9–11]. Identifying the precise location of TAD and chromatin loop boundar</w:t>
      </w:r>
      <w:r>
        <w:t>ies remains a top priority in our goal to fully understand the functionality of the human genome.</w:t>
      </w:r>
    </w:p>
    <w:p w14:paraId="52B0A039" w14:textId="77777777" w:rsidR="00275611" w:rsidRDefault="00935B27">
      <w:pPr>
        <w:pStyle w:val="BodyText"/>
      </w:pPr>
      <w:r>
        <w:lastRenderedPageBreak/>
        <w:t xml:space="preserve">Several methods have been proposed to identify genomic coordinates of TADs (reviewed in [12,13]), and chromatin loops [1,14–16]. However, a key limitation of </w:t>
      </w:r>
      <w:r>
        <w:t xml:space="preserve">them is that they depend on Hi-C data </w:t>
      </w:r>
      <w:r>
        <w:rPr>
          <w:i/>
        </w:rPr>
        <w:t>resolution</w:t>
      </w:r>
      <w:r>
        <w:t>. Resolution refers to the size of genomic regions (bins) used to segment the linear genome [17]. Lower resolutions contribute to larger bin sizes, which leads to increased uncertainty in the location of boun</w:t>
      </w:r>
      <w:r>
        <w:t>daries. Due to high sequencing costs, most available Hi-C datasets have relatively low resolution, ranging from 25 kb to 100 kb. While these low-resolution Hi-C datasets can be used to probe higher-order genomic patterns such as A/B compartments, more refi</w:t>
      </w:r>
      <w:r>
        <w:t>ned resolutions are necessary to accurately define TAD and loop boundaries [18]. Because increasing the resolution of Hi-C data requires a quadratic increase in the total sequencing depth [19], obtaining high resolution remains difficult.</w:t>
      </w:r>
    </w:p>
    <w:p w14:paraId="5CFF9002" w14:textId="77777777" w:rsidR="00275611" w:rsidRDefault="00935B27">
      <w:pPr>
        <w:pStyle w:val="BodyText"/>
      </w:pPr>
      <w:r>
        <w:t>Another limitatio</w:t>
      </w:r>
      <w:r>
        <w:t xml:space="preserve">n among domain callers is that they disregard prior knowledge about functional genomic annotations associated with TAD and loop boundaries, referred hereafter as domain boundaries. The insulator binding protein, CTCF, and additional cofactors such as SMC3 </w:t>
      </w:r>
      <w:r>
        <w:t>and RAD21 have been identified as components of the loop extrusion model [18,20–24]. Furthermore, distinct patterns of histone modifications have also been shown to be present at boundaries [3,4,25]. These genomic annotations are obtained using chromatin i</w:t>
      </w:r>
      <w:r>
        <w:t>mmunoprecipitation followed by high-throughput DNA sequencing (ChIP-seq). The resolution of ChIP-seq experiments is typically on the order of tens to hundreds of bases [26], well below the resolution of Hi-C data (tens of kilobases; 750 bp is the highest r</w:t>
      </w:r>
      <w:r>
        <w:t>esolution of Hi-C data to date [27]). Therefore, leveraging precisely mapped genomic annotations in a supervised machine learning framework enables more precise prediction of the locations of domain boundaries.</w:t>
      </w:r>
    </w:p>
    <w:p w14:paraId="53448CBE" w14:textId="77777777" w:rsidR="00275611" w:rsidRDefault="00935B27">
      <w:pPr>
        <w:pStyle w:val="BodyText"/>
      </w:pPr>
      <w:r>
        <w:t xml:space="preserve">We present </w:t>
      </w:r>
      <w:r>
        <w:rPr>
          <w:i/>
        </w:rPr>
        <w:t>preciseTAD</w:t>
      </w:r>
      <w:r>
        <w:t>, an optimally tuned mac</w:t>
      </w:r>
      <w:r>
        <w:t xml:space="preserve">hine learning framework for precise identification of domain boundaries using genome annotation data. Our method utilizes the random forest (RF) algorithm trained on high-resolution chromatin state (BroadHMM), histone modifications (HM), and transcription </w:t>
      </w:r>
      <w:r>
        <w:t xml:space="preserve">factor binding sites (TFBS) data to predict low-resolution </w:t>
      </w:r>
      <w:r>
        <w:lastRenderedPageBreak/>
        <w:t>boundaries. We introduce a systematic pipeline for building the optimal boundary prediction classifier. We found that spatial associations (linear distance) between boundaries and annotations perfo</w:t>
      </w:r>
      <w:r>
        <w:t>rm best, transcription factor binding sites improve prediction accuracy, and a simple random undersampling technique effectively addresses the negative effect of class imbalance. Translated from Hi-C data resolution level to base level (annotating each bas</w:t>
      </w:r>
      <w:r>
        <w:t xml:space="preserve">e and predicting its boundary probability), </w:t>
      </w:r>
      <w:r>
        <w:rPr>
          <w:i/>
        </w:rPr>
        <w:t>preciseTAD</w:t>
      </w:r>
      <w:r>
        <w:t xml:space="preserve"> employs density-based clustering (DBSCAN) and partitioning around medoids (PAM) to detect genome annotation-guided boundary regions and points at a base-level resolution. This approach circumvents reso</w:t>
      </w:r>
      <w:r>
        <w:t xml:space="preserve">lution restrictions of Hi-C data, allowing for the precise detection of biologically meaningful boundaries. We demonstrate that </w:t>
      </w:r>
      <w:r>
        <w:rPr>
          <w:i/>
        </w:rPr>
        <w:t>preciseTAD</w:t>
      </w:r>
      <w:r>
        <w:t xml:space="preserve"> predictions are more enriched for known molecular drivers of 3D chromatin, including CTCF, RAD21, SMC3, and ZNF143. F</w:t>
      </w:r>
      <w:r>
        <w:t xml:space="preserve">urther, we show that </w:t>
      </w:r>
      <w:r>
        <w:rPr>
          <w:i/>
        </w:rPr>
        <w:t>preciseTAD</w:t>
      </w:r>
      <w:r>
        <w:t>-detected boundaries are more conserved across cell lines, and the model trained in one cell line can predict boundaries in another cell line. This improved precision in the domain boundary location can provide insight into t</w:t>
      </w:r>
      <w:r>
        <w:t xml:space="preserve">he association between genomic regulators and the 3D genome organization. The </w:t>
      </w:r>
      <w:r>
        <w:rPr>
          <w:i/>
        </w:rPr>
        <w:t>preciseTAD</w:t>
      </w:r>
      <w:r>
        <w:t xml:space="preserve"> R package is freely available on </w:t>
      </w:r>
      <w:hyperlink r:id="rId11">
        <w:r>
          <w:rPr>
            <w:rStyle w:val="Hyperlink"/>
          </w:rPr>
          <w:t>https://dozmorovlab.github.io/preciseTAD/</w:t>
        </w:r>
      </w:hyperlink>
      <w:r>
        <w:t xml:space="preserve"> and Bioconductor (submitted).</w:t>
      </w:r>
    </w:p>
    <w:p w14:paraId="07D84412" w14:textId="77777777" w:rsidR="00275611" w:rsidRDefault="00935B27">
      <w:pPr>
        <w:pStyle w:val="Heading1"/>
      </w:pPr>
      <w:bookmarkStart w:id="3" w:name="results"/>
      <w:r>
        <w:t>R</w:t>
      </w:r>
      <w:r>
        <w:t>esults</w:t>
      </w:r>
      <w:bookmarkEnd w:id="3"/>
    </w:p>
    <w:p w14:paraId="0EB8215C" w14:textId="77777777" w:rsidR="00275611" w:rsidRDefault="00935B27">
      <w:pPr>
        <w:pStyle w:val="Heading2"/>
      </w:pPr>
      <w:bookmarkStart w:id="4" w:name="X5189b8d8027644f19ca78ce8f176e95717b49ef"/>
      <w:r>
        <w:t>Developing an ML framework for optimal TAD boundary prediction</w:t>
      </w:r>
      <w:bookmarkEnd w:id="4"/>
    </w:p>
    <w:p w14:paraId="48E49073" w14:textId="77777777" w:rsidR="00275611" w:rsidRDefault="00935B27">
      <w:pPr>
        <w:pStyle w:val="FirstParagraph"/>
      </w:pPr>
      <w:r>
        <w:t>We developed a machine learning (ML) framework for determining the optimal set of data level characteristics to predict boundaries of Topologically Associating Domains (TADs) and chromat</w:t>
      </w:r>
      <w:r>
        <w:t>in loops, collectively referred to as domain boundaries. We chose the random forest (RF) algorithm as our binary classification tool. The reason for it is two-fold: (1) to devise a tunable prediction rule in a supervised learning framework that is both rob</w:t>
      </w:r>
      <w:r>
        <w:t xml:space="preserve">ust to overfitting and able to handle multiple correlated predictors, and (2) to allow for an interpretable ranking of </w:t>
      </w:r>
      <w:r>
        <w:lastRenderedPageBreak/>
        <w:t>predictors [28]. We used Arrowhead-called TAD boundaries [29] and published Peakachu-predicted loop boundaries [16] as ground truth. Data</w:t>
      </w:r>
      <w:r>
        <w:t xml:space="preserve"> from GM12878 and K565 cell lines at 5-100kb resolution (Arrowhead) and 10kb resolution (Peakachu) were used (Additional file: Arrowhead Script, Additional file: Table S1). We next developed </w:t>
      </w:r>
      <w:r>
        <w:rPr>
          <w:i/>
        </w:rPr>
        <w:t>preciseTAD</w:t>
      </w:r>
      <w:r>
        <w:t xml:space="preserve">, an R package that leverages an optimally built RF to </w:t>
      </w:r>
      <w:r>
        <w:t>precisely predict genomic coordinates of TAD and loop boundaries at base resolution from cell line-specific genome annotation data.</w:t>
      </w:r>
    </w:p>
    <w:p w14:paraId="0386774E" w14:textId="77777777" w:rsidR="00275611" w:rsidRDefault="00935B27">
      <w:pPr>
        <w:pStyle w:val="BodyText"/>
      </w:pPr>
      <w:r>
        <w:t>Boundary regions were defined as genomic bins containing a called boundary (</w:t>
      </w:r>
      <m:oMath>
        <m:r>
          <w:rPr>
            <w:rFonts w:ascii="Cambria Math" w:hAnsi="Cambria Math"/>
          </w:rPr>
          <m:t>Y</m:t>
        </m:r>
        <m:r>
          <w:rPr>
            <w:rFonts w:ascii="Cambria Math" w:hAnsi="Cambria Math"/>
          </w:rPr>
          <m:t>=1</m:t>
        </m:r>
      </m:oMath>
      <w:r>
        <w:t>), while non-boundary regions were defined a</w:t>
      </w:r>
      <w:r>
        <w:t>s bins that did not contain a called boundary (</w:t>
      </w:r>
      <m:oMath>
        <m:r>
          <w:rPr>
            <w:rFonts w:ascii="Cambria Math" w:hAnsi="Cambria Math"/>
          </w:rPr>
          <m:t>Y</m:t>
        </m:r>
        <m:r>
          <w:rPr>
            <w:rFonts w:ascii="Cambria Math" w:hAnsi="Cambria Math"/>
          </w:rPr>
          <m:t>=0</m:t>
        </m:r>
      </m:oMath>
      <w:r>
        <w:t>) (Figure 1A, see Methods). The total number of called TADs, their unique boundaries, and the number of genomic bins expectedly decreased with the decreased resolution of Hi-C data (Table 1, Additional fil</w:t>
      </w:r>
      <w:r>
        <w:t>e: Table S2). The number of non-boundary regions highly outnumbered boundary regions. Such a disproportional presence of examples in one class is known as a “class imbalance” problem that negatively affects predictive modeling [30,31]. To address the class</w:t>
      </w:r>
      <w:r>
        <w:t xml:space="preserve"> imbalance, we evaluated the effect of three resampling techniques. </w:t>
      </w:r>
      <w:r>
        <w:rPr>
          <w:i/>
        </w:rPr>
        <w:t>Random over-sampling</w:t>
      </w:r>
      <w:r>
        <w:t xml:space="preserve"> (ROS) was defined as sampling with replacement from the minority class (boundary regions). </w:t>
      </w:r>
      <w:r>
        <w:rPr>
          <w:i/>
        </w:rPr>
        <w:t>Random under-sampling</w:t>
      </w:r>
      <w:r>
        <w:t xml:space="preserve"> (RUS) was defined as sampling with replacement from th</w:t>
      </w:r>
      <w:r>
        <w:t xml:space="preserve">e majority class (non-boundary regions). Lastly, we tested </w:t>
      </w:r>
      <w:r>
        <w:rPr>
          <w:i/>
        </w:rPr>
        <w:t>Synthetic minority over-sampling technique</w:t>
      </w:r>
      <w:r>
        <w:t xml:space="preserve"> (SMOTE), which is a combination of both random over- and under-sampling to create balanced classes [32] (see Methods).</w:t>
      </w:r>
    </w:p>
    <w:p w14:paraId="0F94FCD5" w14:textId="4BBEEA4F" w:rsidR="005863CA" w:rsidRDefault="005863CA">
      <w:pPr>
        <w:pStyle w:val="TableCaption"/>
      </w:pPr>
    </w:p>
    <w:p w14:paraId="6A0C2E0B" w14:textId="77777777" w:rsidR="005863CA" w:rsidRDefault="005863CA">
      <w:pPr>
        <w:pStyle w:val="TableCaption"/>
      </w:pPr>
    </w:p>
    <w:p w14:paraId="5A247E32" w14:textId="77777777" w:rsidR="005863CA" w:rsidRDefault="005863CA">
      <w:pPr>
        <w:pStyle w:val="TableCaption"/>
        <w:rPr>
          <w:b/>
          <w:bCs/>
        </w:rPr>
      </w:pPr>
    </w:p>
    <w:p w14:paraId="589B918C" w14:textId="50369CA6" w:rsidR="00275611" w:rsidRPr="005863CA" w:rsidRDefault="005863CA">
      <w:pPr>
        <w:pStyle w:val="TableCaption"/>
        <w:rPr>
          <w:b/>
          <w:bCs/>
        </w:rPr>
      </w:pPr>
      <w:r w:rsidRPr="005863CA">
        <w:rPr>
          <w:b/>
          <w:bCs/>
        </w:rPr>
        <w:t xml:space="preserve">Table 1. </w:t>
      </w:r>
      <w:r w:rsidR="00935B27" w:rsidRPr="005863CA">
        <w:rPr>
          <w:b/>
          <w:bCs/>
        </w:rPr>
        <w:t>Domain boundary data and class imba</w:t>
      </w:r>
      <w:r w:rsidR="00935B27" w:rsidRPr="005863CA">
        <w:rPr>
          <w:b/>
          <w:bCs/>
        </w:rPr>
        <w:t>lance summaries across resolutions for Arrowhead and Peakachu on GM12878.</w:t>
      </w:r>
    </w:p>
    <w:tbl>
      <w:tblPr>
        <w:tblW w:w="5000" w:type="pct"/>
        <w:tblLook w:val="07E0" w:firstRow="1" w:lastRow="1" w:firstColumn="1" w:lastColumn="1" w:noHBand="1" w:noVBand="1"/>
        <w:tblCaption w:val="Domain boundary data and class imbalance summaries across resolutions for Arrowhead and Peakachu on GM12878."/>
      </w:tblPr>
      <w:tblGrid>
        <w:gridCol w:w="1280"/>
        <w:gridCol w:w="1353"/>
        <w:gridCol w:w="2097"/>
        <w:gridCol w:w="2046"/>
        <w:gridCol w:w="1253"/>
        <w:gridCol w:w="1331"/>
      </w:tblGrid>
      <w:tr w:rsidR="00275611" w14:paraId="7A524D5F" w14:textId="77777777" w:rsidTr="005863CA">
        <w:tc>
          <w:tcPr>
            <w:tcW w:w="0" w:type="auto"/>
            <w:tcBorders>
              <w:top w:val="single" w:sz="4" w:space="0" w:color="auto"/>
              <w:bottom w:val="single" w:sz="2" w:space="0" w:color="auto"/>
            </w:tcBorders>
            <w:vAlign w:val="bottom"/>
          </w:tcPr>
          <w:p w14:paraId="632B9A20" w14:textId="77777777" w:rsidR="00275611" w:rsidRPr="005863CA" w:rsidRDefault="00935B27">
            <w:pPr>
              <w:pStyle w:val="Compact"/>
              <w:jc w:val="center"/>
              <w:rPr>
                <w:b/>
                <w:bCs/>
              </w:rPr>
            </w:pPr>
            <w:r w:rsidRPr="005863CA">
              <w:rPr>
                <w:b/>
                <w:bCs/>
              </w:rPr>
              <w:t>Tool</w:t>
            </w:r>
          </w:p>
        </w:tc>
        <w:tc>
          <w:tcPr>
            <w:tcW w:w="0" w:type="auto"/>
            <w:tcBorders>
              <w:top w:val="single" w:sz="4" w:space="0" w:color="auto"/>
              <w:bottom w:val="single" w:sz="2" w:space="0" w:color="auto"/>
            </w:tcBorders>
            <w:vAlign w:val="bottom"/>
          </w:tcPr>
          <w:p w14:paraId="1AC4978B" w14:textId="77777777" w:rsidR="00275611" w:rsidRPr="005863CA" w:rsidRDefault="00935B27">
            <w:pPr>
              <w:pStyle w:val="Compact"/>
              <w:jc w:val="center"/>
              <w:rPr>
                <w:b/>
                <w:bCs/>
              </w:rPr>
            </w:pPr>
            <w:r w:rsidRPr="005863CA">
              <w:rPr>
                <w:b/>
                <w:bCs/>
              </w:rPr>
              <w:t>Resolution</w:t>
            </w:r>
          </w:p>
        </w:tc>
        <w:tc>
          <w:tcPr>
            <w:tcW w:w="0" w:type="auto"/>
            <w:tcBorders>
              <w:top w:val="single" w:sz="4" w:space="0" w:color="auto"/>
              <w:bottom w:val="single" w:sz="2" w:space="0" w:color="auto"/>
            </w:tcBorders>
            <w:vAlign w:val="bottom"/>
          </w:tcPr>
          <w:p w14:paraId="02F661C7" w14:textId="77777777" w:rsidR="00275611" w:rsidRPr="005863CA" w:rsidRDefault="00935B27">
            <w:pPr>
              <w:pStyle w:val="Compact"/>
              <w:jc w:val="center"/>
              <w:rPr>
                <w:b/>
                <w:bCs/>
              </w:rPr>
            </w:pPr>
            <w:r w:rsidRPr="005863CA">
              <w:rPr>
                <w:b/>
                <w:bCs/>
              </w:rPr>
              <w:t>Total number of called TADs/chromatin loops</w:t>
            </w:r>
          </w:p>
        </w:tc>
        <w:tc>
          <w:tcPr>
            <w:tcW w:w="0" w:type="auto"/>
            <w:tcBorders>
              <w:top w:val="single" w:sz="4" w:space="0" w:color="auto"/>
              <w:bottom w:val="single" w:sz="2" w:space="0" w:color="auto"/>
            </w:tcBorders>
            <w:vAlign w:val="bottom"/>
          </w:tcPr>
          <w:p w14:paraId="4111BE33" w14:textId="77777777" w:rsidR="00275611" w:rsidRPr="005863CA" w:rsidRDefault="00935B27">
            <w:pPr>
              <w:pStyle w:val="Compact"/>
              <w:jc w:val="center"/>
              <w:rPr>
                <w:b/>
                <w:bCs/>
              </w:rPr>
            </w:pPr>
            <w:r w:rsidRPr="005863CA">
              <w:rPr>
                <w:b/>
                <w:bCs/>
              </w:rPr>
              <w:t>Total number of unique TAD/chromatin loop boundaries</w:t>
            </w:r>
          </w:p>
        </w:tc>
        <w:tc>
          <w:tcPr>
            <w:tcW w:w="0" w:type="auto"/>
            <w:tcBorders>
              <w:top w:val="single" w:sz="4" w:space="0" w:color="auto"/>
              <w:bottom w:val="single" w:sz="2" w:space="0" w:color="auto"/>
            </w:tcBorders>
            <w:vAlign w:val="bottom"/>
          </w:tcPr>
          <w:p w14:paraId="60BA7921" w14:textId="77777777" w:rsidR="00275611" w:rsidRPr="005863CA" w:rsidRDefault="00935B27">
            <w:pPr>
              <w:pStyle w:val="Compact"/>
              <w:jc w:val="center"/>
              <w:rPr>
                <w:b/>
                <w:bCs/>
              </w:rPr>
            </w:pPr>
            <w:r w:rsidRPr="005863CA">
              <w:rPr>
                <w:b/>
                <w:bCs/>
              </w:rPr>
              <w:t>Total number of genomic bins</w:t>
            </w:r>
          </w:p>
        </w:tc>
        <w:tc>
          <w:tcPr>
            <w:tcW w:w="0" w:type="auto"/>
            <w:tcBorders>
              <w:top w:val="single" w:sz="4" w:space="0" w:color="auto"/>
              <w:bottom w:val="single" w:sz="2" w:space="0" w:color="auto"/>
            </w:tcBorders>
            <w:vAlign w:val="bottom"/>
          </w:tcPr>
          <w:p w14:paraId="6CC5C638" w14:textId="77777777" w:rsidR="00275611" w:rsidRPr="005863CA" w:rsidRDefault="00935B27">
            <w:pPr>
              <w:pStyle w:val="Compact"/>
              <w:jc w:val="center"/>
              <w:rPr>
                <w:b/>
                <w:bCs/>
              </w:rPr>
            </w:pPr>
            <w:r w:rsidRPr="005863CA">
              <w:rPr>
                <w:b/>
                <w:bCs/>
              </w:rPr>
              <w:t>Class imbalance</w:t>
            </w:r>
          </w:p>
        </w:tc>
      </w:tr>
      <w:tr w:rsidR="00275611" w14:paraId="7F804E68" w14:textId="77777777" w:rsidTr="005863CA">
        <w:tc>
          <w:tcPr>
            <w:tcW w:w="0" w:type="auto"/>
            <w:tcBorders>
              <w:top w:val="single" w:sz="2" w:space="0" w:color="auto"/>
            </w:tcBorders>
          </w:tcPr>
          <w:p w14:paraId="426F3F9B" w14:textId="77777777" w:rsidR="00275611" w:rsidRDefault="00935B27">
            <w:pPr>
              <w:pStyle w:val="Compact"/>
              <w:jc w:val="center"/>
            </w:pPr>
            <w:r>
              <w:t>Arrowhead</w:t>
            </w:r>
          </w:p>
        </w:tc>
        <w:tc>
          <w:tcPr>
            <w:tcW w:w="0" w:type="auto"/>
            <w:tcBorders>
              <w:top w:val="single" w:sz="2" w:space="0" w:color="auto"/>
            </w:tcBorders>
          </w:tcPr>
          <w:p w14:paraId="40E7EE28" w14:textId="77777777" w:rsidR="00275611" w:rsidRDefault="00935B27">
            <w:pPr>
              <w:pStyle w:val="Compact"/>
              <w:jc w:val="center"/>
            </w:pPr>
            <w:r>
              <w:t>5 kb</w:t>
            </w:r>
          </w:p>
        </w:tc>
        <w:tc>
          <w:tcPr>
            <w:tcW w:w="0" w:type="auto"/>
            <w:tcBorders>
              <w:top w:val="single" w:sz="2" w:space="0" w:color="auto"/>
            </w:tcBorders>
          </w:tcPr>
          <w:p w14:paraId="1CA84E00" w14:textId="4F21693A" w:rsidR="00275611" w:rsidRDefault="00935B27">
            <w:pPr>
              <w:pStyle w:val="Compact"/>
              <w:jc w:val="center"/>
            </w:pPr>
            <w:r>
              <w:t>8</w:t>
            </w:r>
            <w:r>
              <w:t>052</w:t>
            </w:r>
          </w:p>
        </w:tc>
        <w:tc>
          <w:tcPr>
            <w:tcW w:w="0" w:type="auto"/>
            <w:tcBorders>
              <w:top w:val="single" w:sz="2" w:space="0" w:color="auto"/>
            </w:tcBorders>
          </w:tcPr>
          <w:p w14:paraId="7FC504D4" w14:textId="6DEE06EB" w:rsidR="00275611" w:rsidRDefault="00935B27">
            <w:pPr>
              <w:pStyle w:val="Compact"/>
              <w:jc w:val="center"/>
            </w:pPr>
            <w:r>
              <w:t>15</w:t>
            </w:r>
            <w:r>
              <w:t>468</w:t>
            </w:r>
          </w:p>
        </w:tc>
        <w:tc>
          <w:tcPr>
            <w:tcW w:w="0" w:type="auto"/>
            <w:tcBorders>
              <w:top w:val="single" w:sz="2" w:space="0" w:color="auto"/>
            </w:tcBorders>
          </w:tcPr>
          <w:p w14:paraId="44572703" w14:textId="0835258E" w:rsidR="00275611" w:rsidRDefault="00935B27">
            <w:pPr>
              <w:pStyle w:val="Compact"/>
              <w:jc w:val="center"/>
            </w:pPr>
            <w:r>
              <w:t>535</w:t>
            </w:r>
            <w:r>
              <w:t>363</w:t>
            </w:r>
          </w:p>
        </w:tc>
        <w:tc>
          <w:tcPr>
            <w:tcW w:w="0" w:type="auto"/>
            <w:tcBorders>
              <w:top w:val="single" w:sz="2" w:space="0" w:color="auto"/>
            </w:tcBorders>
          </w:tcPr>
          <w:p w14:paraId="5E806A71" w14:textId="77777777" w:rsidR="00275611" w:rsidRDefault="00935B27">
            <w:pPr>
              <w:pStyle w:val="Compact"/>
              <w:jc w:val="center"/>
            </w:pPr>
            <w:r>
              <w:t>0.03</w:t>
            </w:r>
          </w:p>
        </w:tc>
      </w:tr>
      <w:tr w:rsidR="00275611" w14:paraId="737A87C4" w14:textId="77777777">
        <w:tc>
          <w:tcPr>
            <w:tcW w:w="0" w:type="auto"/>
          </w:tcPr>
          <w:p w14:paraId="784CF86B" w14:textId="77777777" w:rsidR="00275611" w:rsidRDefault="00935B27">
            <w:pPr>
              <w:pStyle w:val="Compact"/>
              <w:jc w:val="center"/>
            </w:pPr>
            <w:r>
              <w:t>Arrowhead</w:t>
            </w:r>
          </w:p>
        </w:tc>
        <w:tc>
          <w:tcPr>
            <w:tcW w:w="0" w:type="auto"/>
          </w:tcPr>
          <w:p w14:paraId="3BE31ED3" w14:textId="77777777" w:rsidR="00275611" w:rsidRDefault="00935B27">
            <w:pPr>
              <w:pStyle w:val="Compact"/>
              <w:jc w:val="center"/>
            </w:pPr>
            <w:r>
              <w:t>10 kb</w:t>
            </w:r>
          </w:p>
        </w:tc>
        <w:tc>
          <w:tcPr>
            <w:tcW w:w="0" w:type="auto"/>
          </w:tcPr>
          <w:p w14:paraId="13226B88" w14:textId="4FCEAB0A" w:rsidR="00275611" w:rsidRDefault="00935B27">
            <w:pPr>
              <w:pStyle w:val="Compact"/>
              <w:jc w:val="center"/>
            </w:pPr>
            <w:r>
              <w:t>7</w:t>
            </w:r>
            <w:r>
              <w:t>676</w:t>
            </w:r>
          </w:p>
        </w:tc>
        <w:tc>
          <w:tcPr>
            <w:tcW w:w="0" w:type="auto"/>
          </w:tcPr>
          <w:p w14:paraId="2A8402F2" w14:textId="5F8C63B3" w:rsidR="00275611" w:rsidRDefault="00935B27">
            <w:pPr>
              <w:pStyle w:val="Compact"/>
              <w:jc w:val="center"/>
            </w:pPr>
            <w:r>
              <w:t>14</w:t>
            </w:r>
            <w:r>
              <w:t>253</w:t>
            </w:r>
          </w:p>
        </w:tc>
        <w:tc>
          <w:tcPr>
            <w:tcW w:w="0" w:type="auto"/>
          </w:tcPr>
          <w:p w14:paraId="2571BCC8" w14:textId="79EE7CB1" w:rsidR="00275611" w:rsidRDefault="00935B27">
            <w:pPr>
              <w:pStyle w:val="Compact"/>
              <w:jc w:val="center"/>
            </w:pPr>
            <w:r>
              <w:t>267</w:t>
            </w:r>
            <w:r>
              <w:t>682</w:t>
            </w:r>
          </w:p>
        </w:tc>
        <w:tc>
          <w:tcPr>
            <w:tcW w:w="0" w:type="auto"/>
          </w:tcPr>
          <w:p w14:paraId="17640758" w14:textId="77777777" w:rsidR="00275611" w:rsidRDefault="00935B27">
            <w:pPr>
              <w:pStyle w:val="Compact"/>
              <w:jc w:val="center"/>
            </w:pPr>
            <w:r>
              <w:t>0.05</w:t>
            </w:r>
          </w:p>
        </w:tc>
      </w:tr>
      <w:tr w:rsidR="00275611" w14:paraId="1F0924A9" w14:textId="77777777">
        <w:tc>
          <w:tcPr>
            <w:tcW w:w="0" w:type="auto"/>
          </w:tcPr>
          <w:p w14:paraId="3EB77160" w14:textId="77777777" w:rsidR="00275611" w:rsidRDefault="00935B27">
            <w:pPr>
              <w:pStyle w:val="Compact"/>
              <w:jc w:val="center"/>
            </w:pPr>
            <w:r>
              <w:t>Arrowhead</w:t>
            </w:r>
          </w:p>
        </w:tc>
        <w:tc>
          <w:tcPr>
            <w:tcW w:w="0" w:type="auto"/>
          </w:tcPr>
          <w:p w14:paraId="1E853D6E" w14:textId="77777777" w:rsidR="00275611" w:rsidRDefault="00935B27">
            <w:pPr>
              <w:pStyle w:val="Compact"/>
              <w:jc w:val="center"/>
            </w:pPr>
            <w:r>
              <w:t>25 kb</w:t>
            </w:r>
          </w:p>
        </w:tc>
        <w:tc>
          <w:tcPr>
            <w:tcW w:w="0" w:type="auto"/>
          </w:tcPr>
          <w:p w14:paraId="7892585C" w14:textId="468477B9" w:rsidR="00275611" w:rsidRDefault="00935B27">
            <w:pPr>
              <w:pStyle w:val="Compact"/>
              <w:jc w:val="center"/>
            </w:pPr>
            <w:r>
              <w:t>4</w:t>
            </w:r>
            <w:r>
              <w:t>670</w:t>
            </w:r>
          </w:p>
        </w:tc>
        <w:tc>
          <w:tcPr>
            <w:tcW w:w="0" w:type="auto"/>
          </w:tcPr>
          <w:p w14:paraId="2154B27E" w14:textId="27D9AD76" w:rsidR="00275611" w:rsidRDefault="00935B27">
            <w:pPr>
              <w:pStyle w:val="Compact"/>
              <w:jc w:val="center"/>
            </w:pPr>
            <w:r>
              <w:t>8</w:t>
            </w:r>
            <w:r>
              <w:t>363</w:t>
            </w:r>
          </w:p>
        </w:tc>
        <w:tc>
          <w:tcPr>
            <w:tcW w:w="0" w:type="auto"/>
          </w:tcPr>
          <w:p w14:paraId="495042FF" w14:textId="4D3296C6" w:rsidR="00275611" w:rsidRDefault="00935B27">
            <w:pPr>
              <w:pStyle w:val="Compact"/>
              <w:jc w:val="center"/>
            </w:pPr>
            <w:r>
              <w:t>107</w:t>
            </w:r>
            <w:r>
              <w:t>073</w:t>
            </w:r>
          </w:p>
        </w:tc>
        <w:tc>
          <w:tcPr>
            <w:tcW w:w="0" w:type="auto"/>
          </w:tcPr>
          <w:p w14:paraId="27270575" w14:textId="77777777" w:rsidR="00275611" w:rsidRDefault="00935B27">
            <w:pPr>
              <w:pStyle w:val="Compact"/>
              <w:jc w:val="center"/>
            </w:pPr>
            <w:r>
              <w:t>0.08</w:t>
            </w:r>
          </w:p>
        </w:tc>
      </w:tr>
      <w:tr w:rsidR="00275611" w14:paraId="088EE671" w14:textId="77777777">
        <w:tc>
          <w:tcPr>
            <w:tcW w:w="0" w:type="auto"/>
          </w:tcPr>
          <w:p w14:paraId="3CD021FD" w14:textId="77777777" w:rsidR="00275611" w:rsidRDefault="00935B27">
            <w:pPr>
              <w:pStyle w:val="Compact"/>
              <w:jc w:val="center"/>
            </w:pPr>
            <w:r>
              <w:t>Arrowhead</w:t>
            </w:r>
          </w:p>
        </w:tc>
        <w:tc>
          <w:tcPr>
            <w:tcW w:w="0" w:type="auto"/>
          </w:tcPr>
          <w:p w14:paraId="17B4C266" w14:textId="77777777" w:rsidR="00275611" w:rsidRDefault="00935B27">
            <w:pPr>
              <w:pStyle w:val="Compact"/>
              <w:jc w:val="center"/>
            </w:pPr>
            <w:r>
              <w:t>50 kb</w:t>
            </w:r>
          </w:p>
        </w:tc>
        <w:tc>
          <w:tcPr>
            <w:tcW w:w="0" w:type="auto"/>
          </w:tcPr>
          <w:p w14:paraId="0C929495" w14:textId="62F1CCEC" w:rsidR="00275611" w:rsidRDefault="00935B27">
            <w:pPr>
              <w:pStyle w:val="Compact"/>
              <w:jc w:val="center"/>
            </w:pPr>
            <w:r>
              <w:t>2</w:t>
            </w:r>
            <w:r>
              <w:t>349</w:t>
            </w:r>
          </w:p>
        </w:tc>
        <w:tc>
          <w:tcPr>
            <w:tcW w:w="0" w:type="auto"/>
          </w:tcPr>
          <w:p w14:paraId="6E5ABD37" w14:textId="64E03CC4" w:rsidR="00275611" w:rsidRDefault="00935B27">
            <w:pPr>
              <w:pStyle w:val="Compact"/>
              <w:jc w:val="center"/>
            </w:pPr>
            <w:r>
              <w:t>4</w:t>
            </w:r>
            <w:r>
              <w:t>224</w:t>
            </w:r>
          </w:p>
        </w:tc>
        <w:tc>
          <w:tcPr>
            <w:tcW w:w="0" w:type="auto"/>
          </w:tcPr>
          <w:p w14:paraId="2A19E3D0" w14:textId="28CF092A" w:rsidR="00275611" w:rsidRDefault="00935B27">
            <w:pPr>
              <w:pStyle w:val="Compact"/>
              <w:jc w:val="center"/>
            </w:pPr>
            <w:r>
              <w:t>53</w:t>
            </w:r>
            <w:r>
              <w:t>537</w:t>
            </w:r>
          </w:p>
        </w:tc>
        <w:tc>
          <w:tcPr>
            <w:tcW w:w="0" w:type="auto"/>
          </w:tcPr>
          <w:p w14:paraId="3E456DB7" w14:textId="77777777" w:rsidR="00275611" w:rsidRDefault="00935B27">
            <w:pPr>
              <w:pStyle w:val="Compact"/>
              <w:jc w:val="center"/>
            </w:pPr>
            <w:r>
              <w:t>0.08</w:t>
            </w:r>
          </w:p>
        </w:tc>
      </w:tr>
      <w:tr w:rsidR="00275611" w14:paraId="4A63F8D4" w14:textId="77777777" w:rsidTr="005863CA">
        <w:tc>
          <w:tcPr>
            <w:tcW w:w="0" w:type="auto"/>
          </w:tcPr>
          <w:p w14:paraId="6D2B322C" w14:textId="77777777" w:rsidR="00275611" w:rsidRDefault="00935B27">
            <w:pPr>
              <w:pStyle w:val="Compact"/>
              <w:jc w:val="center"/>
            </w:pPr>
            <w:r>
              <w:t>Arrowhead</w:t>
            </w:r>
          </w:p>
        </w:tc>
        <w:tc>
          <w:tcPr>
            <w:tcW w:w="0" w:type="auto"/>
          </w:tcPr>
          <w:p w14:paraId="2D30B9DF" w14:textId="77777777" w:rsidR="00275611" w:rsidRDefault="00935B27">
            <w:pPr>
              <w:pStyle w:val="Compact"/>
              <w:jc w:val="center"/>
            </w:pPr>
            <w:r>
              <w:t>100 kb</w:t>
            </w:r>
          </w:p>
        </w:tc>
        <w:tc>
          <w:tcPr>
            <w:tcW w:w="0" w:type="auto"/>
          </w:tcPr>
          <w:p w14:paraId="41576B77" w14:textId="714F55F8" w:rsidR="00275611" w:rsidRDefault="00935B27">
            <w:pPr>
              <w:pStyle w:val="Compact"/>
              <w:jc w:val="center"/>
            </w:pPr>
            <w:r>
              <w:t>1</w:t>
            </w:r>
            <w:r>
              <w:t>031</w:t>
            </w:r>
          </w:p>
        </w:tc>
        <w:tc>
          <w:tcPr>
            <w:tcW w:w="0" w:type="auto"/>
          </w:tcPr>
          <w:p w14:paraId="51C28AB2" w14:textId="09880E30" w:rsidR="00275611" w:rsidRDefault="00935B27">
            <w:pPr>
              <w:pStyle w:val="Compact"/>
              <w:jc w:val="center"/>
            </w:pPr>
            <w:r>
              <w:t>1</w:t>
            </w:r>
            <w:r>
              <w:t>883</w:t>
            </w:r>
          </w:p>
        </w:tc>
        <w:tc>
          <w:tcPr>
            <w:tcW w:w="0" w:type="auto"/>
          </w:tcPr>
          <w:p w14:paraId="2F4FC008" w14:textId="299F64EE" w:rsidR="00275611" w:rsidRDefault="00935B27">
            <w:pPr>
              <w:pStyle w:val="Compact"/>
              <w:jc w:val="center"/>
            </w:pPr>
            <w:r>
              <w:t>26</w:t>
            </w:r>
            <w:r>
              <w:t>768</w:t>
            </w:r>
          </w:p>
        </w:tc>
        <w:tc>
          <w:tcPr>
            <w:tcW w:w="0" w:type="auto"/>
          </w:tcPr>
          <w:p w14:paraId="2186C5EE" w14:textId="77777777" w:rsidR="00275611" w:rsidRDefault="00935B27">
            <w:pPr>
              <w:pStyle w:val="Compact"/>
              <w:jc w:val="center"/>
            </w:pPr>
            <w:r>
              <w:t>0.07</w:t>
            </w:r>
          </w:p>
        </w:tc>
      </w:tr>
      <w:tr w:rsidR="00275611" w14:paraId="6D94D84F" w14:textId="77777777" w:rsidTr="005863CA">
        <w:tc>
          <w:tcPr>
            <w:tcW w:w="0" w:type="auto"/>
            <w:tcBorders>
              <w:bottom w:val="single" w:sz="4" w:space="0" w:color="auto"/>
            </w:tcBorders>
          </w:tcPr>
          <w:p w14:paraId="784DADC9" w14:textId="77777777" w:rsidR="00275611" w:rsidRDefault="00935B27">
            <w:pPr>
              <w:pStyle w:val="Compact"/>
              <w:jc w:val="center"/>
            </w:pPr>
            <w:r>
              <w:t>Peakachu</w:t>
            </w:r>
          </w:p>
        </w:tc>
        <w:tc>
          <w:tcPr>
            <w:tcW w:w="0" w:type="auto"/>
            <w:tcBorders>
              <w:bottom w:val="single" w:sz="4" w:space="0" w:color="auto"/>
            </w:tcBorders>
          </w:tcPr>
          <w:p w14:paraId="5710F0E1" w14:textId="77777777" w:rsidR="00275611" w:rsidRDefault="00935B27">
            <w:pPr>
              <w:pStyle w:val="Compact"/>
              <w:jc w:val="center"/>
            </w:pPr>
            <w:r>
              <w:t>10 kb</w:t>
            </w:r>
          </w:p>
        </w:tc>
        <w:tc>
          <w:tcPr>
            <w:tcW w:w="0" w:type="auto"/>
            <w:tcBorders>
              <w:bottom w:val="single" w:sz="4" w:space="0" w:color="auto"/>
            </w:tcBorders>
          </w:tcPr>
          <w:p w14:paraId="3FF5C121" w14:textId="7C5395B6" w:rsidR="00275611" w:rsidRDefault="00935B27">
            <w:pPr>
              <w:pStyle w:val="Compact"/>
              <w:jc w:val="center"/>
            </w:pPr>
            <w:r>
              <w:t>1</w:t>
            </w:r>
            <w:r>
              <w:t>6</w:t>
            </w:r>
            <w:r>
              <w:t>185</w:t>
            </w:r>
          </w:p>
        </w:tc>
        <w:tc>
          <w:tcPr>
            <w:tcW w:w="0" w:type="auto"/>
            <w:tcBorders>
              <w:bottom w:val="single" w:sz="4" w:space="0" w:color="auto"/>
            </w:tcBorders>
          </w:tcPr>
          <w:p w14:paraId="51FEDD36" w14:textId="4394F8E4" w:rsidR="00275611" w:rsidRDefault="00935B27">
            <w:pPr>
              <w:pStyle w:val="Compact"/>
              <w:jc w:val="center"/>
            </w:pPr>
            <w:r>
              <w:t>21</w:t>
            </w:r>
            <w:r>
              <w:t>421</w:t>
            </w:r>
          </w:p>
        </w:tc>
        <w:tc>
          <w:tcPr>
            <w:tcW w:w="0" w:type="auto"/>
            <w:tcBorders>
              <w:bottom w:val="single" w:sz="4" w:space="0" w:color="auto"/>
            </w:tcBorders>
          </w:tcPr>
          <w:p w14:paraId="397952BC" w14:textId="7C114680" w:rsidR="00275611" w:rsidRDefault="00935B27">
            <w:pPr>
              <w:pStyle w:val="Compact"/>
              <w:jc w:val="center"/>
            </w:pPr>
            <w:r>
              <w:t>26</w:t>
            </w:r>
            <w:r>
              <w:t>7</w:t>
            </w:r>
            <w:r>
              <w:t>682</w:t>
            </w:r>
          </w:p>
        </w:tc>
        <w:tc>
          <w:tcPr>
            <w:tcW w:w="0" w:type="auto"/>
            <w:tcBorders>
              <w:bottom w:val="single" w:sz="4" w:space="0" w:color="auto"/>
            </w:tcBorders>
          </w:tcPr>
          <w:p w14:paraId="7E67C245" w14:textId="77777777" w:rsidR="00275611" w:rsidRDefault="00935B27">
            <w:pPr>
              <w:pStyle w:val="Compact"/>
              <w:jc w:val="center"/>
            </w:pPr>
            <w:r>
              <w:t>0.14</w:t>
            </w:r>
          </w:p>
        </w:tc>
      </w:tr>
    </w:tbl>
    <w:p w14:paraId="023B49A9" w14:textId="77777777" w:rsidR="00275611" w:rsidRDefault="00935B27">
      <w:pPr>
        <w:pStyle w:val="BodyText"/>
      </w:pPr>
      <w:r>
        <w:t>A total of 77 cell line-specific genomic annotations were used to build the predictor space. These included BroadHMM chromatin state data, histone modifications (HM), and transcription factor binding sites (TFBS) (Additional file: Table S3). Four feature e</w:t>
      </w:r>
      <w:r>
        <w:t>ngineering procedures were developed to quantify the association between genomic annotations and bins (Figure 1B). These included signal strength association (Signal), direct (OC), proportional (OP), and spatial (</w:t>
      </w: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+1</m:t>
        </m:r>
      </m:oMath>
      <w:r>
        <w:t xml:space="preserve"> Distance) relationships (see Meth</w:t>
      </w:r>
      <w:r>
        <w:t>ods, Additional file: Figure S1).</w:t>
      </w:r>
    </w:p>
    <w:p w14:paraId="37858EB8" w14:textId="77777777" w:rsidR="00275611" w:rsidRDefault="00935B27">
      <w:pPr>
        <w:pStyle w:val="BodyText"/>
      </w:pPr>
      <w:r>
        <w:t xml:space="preserve">In total, we considered combinations of data from two cell lines </w:t>
      </w:r>
      <w:r>
        <w:rPr>
          <w:i/>
        </w:rPr>
        <w:t>L = {GM12878, K562}</w:t>
      </w:r>
      <w:r>
        <w:t xml:space="preserve">, five resolution </w:t>
      </w:r>
      <w:r>
        <w:rPr>
          <w:i/>
        </w:rPr>
        <w:t>R = {5 kb, 10 kb, 25 kb, 50 kb, 100 kb}</w:t>
      </w:r>
      <w:r>
        <w:t xml:space="preserve">, four types of predictor space </w:t>
      </w:r>
      <w:r>
        <w:rPr>
          <w:i/>
        </w:rPr>
        <w:t xml:space="preserve">P = {Signal, OC, </w:t>
      </w:r>
      <w:r>
        <w:rPr>
          <w:i/>
        </w:rPr>
        <w:lastRenderedPageBreak/>
        <w:t>OP, Distance}</w:t>
      </w:r>
      <w:r>
        <w:t>, and three re-samp</w:t>
      </w:r>
      <w:r>
        <w:t xml:space="preserve">ling technique </w:t>
      </w:r>
      <w:r>
        <w:rPr>
          <w:i/>
        </w:rPr>
        <w:t>S = {None, RUS, ROS, SMOTE}</w:t>
      </w:r>
      <w:r>
        <w:t xml:space="preserve"> (Figure 2). Once the model inputs were established, a random forest classifier was trained on </w:t>
      </w:r>
      <m:oMath>
        <m:r>
          <w:rPr>
            <w:rFonts w:ascii="Cambria Math" w:hAnsi="Cambria Math"/>
          </w:rPr>
          <m:t>n</m:t>
        </m:r>
        <m:r>
          <w:rPr>
            <w:rFonts w:ascii="Cambria Math" w:hAnsi="Cambria Math"/>
          </w:rPr>
          <m:t>-</m:t>
        </m:r>
        <m:r>
          <w:rPr>
            <w:rFonts w:ascii="Cambria Math" w:hAnsi="Cambria Math"/>
          </w:rPr>
          <m:t>1</m:t>
        </m:r>
      </m:oMath>
      <w:r>
        <w:t xml:space="preserve"> autosomal chromosomes, while reserving the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 xml:space="preserve"> </w:t>
      </w:r>
      <w:r>
        <w:t xml:space="preserve">chromosome for testing. Three-fold cross-validation was used to tune the </w:t>
      </w:r>
      <w:r>
        <w:rPr>
          <w:i/>
        </w:rPr>
        <w:t>mtry</w:t>
      </w:r>
      <w:r>
        <w:t xml:space="preserve"> hyperparameter, while </w:t>
      </w:r>
      <w:r>
        <w:rPr>
          <w:i/>
        </w:rPr>
        <w:t>ntree</w:t>
      </w:r>
      <w:r>
        <w:t xml:space="preserve"> and </w:t>
      </w:r>
      <w:r>
        <w:rPr>
          <w:i/>
        </w:rPr>
        <w:t>nodesize</w:t>
      </w:r>
      <w:r>
        <w:t xml:space="preserve"> were fixed at 500 and at 0.1% of the rows in the training data, respectively. Model performance was evaluated by aggregating the mean bal</w:t>
      </w:r>
      <w:r>
        <w:t>anced accuracy (BA) across each holdout chromosome (see Methods). These strategies allowed us to select the best performing model in an unbiased manner.</w:t>
      </w:r>
    </w:p>
    <w:p w14:paraId="19C0F6C6" w14:textId="77777777" w:rsidR="00275611" w:rsidRDefault="00935B27">
      <w:pPr>
        <w:pStyle w:val="Heading2"/>
      </w:pPr>
      <w:bookmarkStart w:id="5" w:name="Xeda0eb58d7c94f27375b8fb4e63e0ec5de966ce"/>
      <w:r>
        <w:t>Random under-sampling, distance-based predictors, and high-resolution Hi-C data provide optimal perform</w:t>
      </w:r>
      <w:r>
        <w:t>ance for boundary prediction</w:t>
      </w:r>
      <w:bookmarkEnd w:id="5"/>
    </w:p>
    <w:p w14:paraId="1AC7D0D0" w14:textId="77777777" w:rsidR="00275611" w:rsidRDefault="00935B27">
      <w:pPr>
        <w:pStyle w:val="FirstParagraph"/>
      </w:pPr>
      <w:r>
        <w:t xml:space="preserve">Expectedly, when using data with class imbalance present, that is, no resampling, the models exhibited low balanced accuracies, with minimal variability among different resolutions (Figure 3). Similarly, poor performances were </w:t>
      </w:r>
      <w:r>
        <w:t>found when using ROS. However, RUS and SMOTE re-sampling led to a drastic improvement in performance, especially at higher resolutions. We found that RUS marginally outperformed SMOTE as the optimal class balancing technique for all resolutions and predict</w:t>
      </w:r>
      <w:r>
        <w:t>or types when predicting TAD boundary regions.</w:t>
      </w:r>
    </w:p>
    <w:p w14:paraId="7EA28EF4" w14:textId="77777777" w:rsidR="00275611" w:rsidRDefault="00935B27">
      <w:pPr>
        <w:pStyle w:val="BodyText"/>
      </w:pPr>
      <w:r>
        <w:t>Additionally, we found that using a distance-type predictor space yielded substantially higher balanced accuracy compared to the peak signal strength, overlap count, and overlap percent predictor types. As wit</w:t>
      </w:r>
      <w:r>
        <w:t>h class balancing techniques, this improvement was less evident at lower resolutions, with results consistent for K562 (Additional file: Figure S2A). Random forest models built on Peakachu-defined loop boundaries with SMOTE resampling only marginally outpe</w:t>
      </w:r>
      <w:r>
        <w:t>rformed RUS for both GM12878 and K562 cell lines (Additional file: Figure S2B, S2C). Furthermore, 5 kb resolution genomic bins led to the optimal prediction for both TAD and loop boundaries, on both cell lines. Our results indicate that random under-sampli</w:t>
      </w:r>
      <w:r>
        <w:t xml:space="preserve">ng, distance-type </w:t>
      </w:r>
      <w:r>
        <w:lastRenderedPageBreak/>
        <w:t>predictors, and high-resolution Hi-C data provide the optimal set of data level characteristics for both TAD and chromatin loop boundary prediction.</w:t>
      </w:r>
    </w:p>
    <w:p w14:paraId="3D532D36" w14:textId="77777777" w:rsidR="00275611" w:rsidRDefault="00935B27">
      <w:pPr>
        <w:pStyle w:val="Heading2"/>
      </w:pPr>
      <w:bookmarkStart w:id="6" w:name="Xba996a37939d464cd0ce9310a54570cfad122eb"/>
      <w:r>
        <w:t>Transcription factor binding sites outperform histone- and chromatin state-specific model</w:t>
      </w:r>
      <w:r>
        <w:t>s</w:t>
      </w:r>
      <w:bookmarkEnd w:id="6"/>
    </w:p>
    <w:p w14:paraId="3AFA5326" w14:textId="77777777" w:rsidR="00275611" w:rsidRDefault="00935B27">
      <w:pPr>
        <w:pStyle w:val="FirstParagraph"/>
      </w:pPr>
      <w:r>
        <w:t>We hypothesized that the type of genomic annotations may also affect predictive performance. Using the established optimal settings (RUS, Distance, 5 kb bins), we built separate random forest models using BroadHMM chromatin state data, histone modificati</w:t>
      </w:r>
      <w:r>
        <w:t>ons (HM), and transcription factor binding sites (TFBS). We found that models built on TFBSs outperformed other annotation-specific models, with results consistent for loop boundaries, on both cell lines (Figure 4A; Additional file: Figure S3A). These resu</w:t>
      </w:r>
      <w:r>
        <w:t>lts suggest that TFBS are the primary drivers of TAD and loop boundary formation in both GM12878 and K562.</w:t>
      </w:r>
    </w:p>
    <w:p w14:paraId="3054AD2D" w14:textId="77777777" w:rsidR="00275611" w:rsidRDefault="00935B27">
      <w:pPr>
        <w:pStyle w:val="Heading2"/>
      </w:pPr>
      <w:bookmarkStart w:id="7" w:name="Xb6453653944f5a0c280252816394d3ce0ab4cf1"/>
      <w:r>
        <w:t>Predictive importances confirmed the biological role of CTCF, RAD21, SMC3, and ZNF143 for boundary formation</w:t>
      </w:r>
      <w:bookmarkEnd w:id="7"/>
    </w:p>
    <w:p w14:paraId="3B845F0E" w14:textId="77777777" w:rsidR="00275611" w:rsidRDefault="00935B27">
      <w:pPr>
        <w:pStyle w:val="FirstParagraph"/>
      </w:pPr>
      <w:r>
        <w:t>We sought to further optimize our bounda</w:t>
      </w:r>
      <w:r>
        <w:t>ry region prediction models by recursive feature elimination to avoid overfitting and selecting only the most influential TFBS across all autosomal chromosomes. We were able to obtain near-optimal performance using approximately eight TFBS (Figure 4B; Addi</w:t>
      </w:r>
      <w:r>
        <w:t>tional file: Figure S3B). However, given that we trained our model on chromosome-specific data, the most significant annotations varied for each chromosome set. To determine transcription factors most important for boundary prediction across all chromosome</w:t>
      </w:r>
      <w:r>
        <w:t xml:space="preserve">s, we clustered the predictive importance (mean decrease in accuracy) of the top eight significant TFs across chromosomes. We found four transcription factors, CTCF, RAD21, SMC3, and ZNF143, being consistently predictive of TAD and loop boundaries (Figure </w:t>
      </w:r>
      <w:r>
        <w:t xml:space="preserve">4C; Additional file: Figure S3C). We optimized our model by only considering these top four TFBS when building the random forest model, thereby decreasing computational burden while maintaining high </w:t>
      </w:r>
      <w:r>
        <w:lastRenderedPageBreak/>
        <w:t>predictive performance. In summary, our model was able to</w:t>
      </w:r>
      <w:r>
        <w:t xml:space="preserve"> yield the known molecular drivers of the loop extrusion model [18,20–24].</w:t>
      </w:r>
    </w:p>
    <w:p w14:paraId="603F6F68" w14:textId="77777777" w:rsidR="00275611" w:rsidRDefault="00935B27">
      <w:pPr>
        <w:pStyle w:val="Heading2"/>
      </w:pPr>
      <w:bookmarkStart w:id="8" w:name="Xd4755448f5d851a32f10fe3509a94b660fef7a2"/>
      <w:r>
        <w:t>Training in one cell line accurately predicts boundary regions in other cell lines</w:t>
      </w:r>
      <w:bookmarkEnd w:id="8"/>
    </w:p>
    <w:p w14:paraId="7CA1C204" w14:textId="77777777" w:rsidR="00275611" w:rsidRDefault="00935B27">
      <w:pPr>
        <w:pStyle w:val="FirstParagraph"/>
      </w:pPr>
      <w:r>
        <w:t>Having demonstrated the optimal performance in our framework’s ability to predict boundary regions</w:t>
      </w:r>
      <w:r>
        <w:t>, we next attempted to predict boundary regions in one cell line using the model pre-trained on data from another another cell line (See Methods). We found that training and testing using Arrowhead ground truth TAD boundaries and genomic annotation data fr</w:t>
      </w:r>
      <w:r>
        <w:t>om GM12878 cell line resulted in an average AUC=0.792 (Figure 4D). Interestingly, when training on the K562 cell line and testing on GM12878, the average AUC increased slightly to 0.795. Likewise, the average performance of models trained using Peakachu bo</w:t>
      </w:r>
      <w:r>
        <w:t>undaries and genomic annotation data from GM12878 cell line was comparable to models trained on K562-specific Peakachu boundaries and genomic annotations (Avg. AUC=0.881 and 0.874, respectively). These results were consistent when comparing training/testin</w:t>
      </w:r>
      <w:r>
        <w:t>g strategies on K562 with training on GM12878 and testing on K562 data (Additional file: Figure S3D). The average ROC curves were found to be within 1 standard deviation of each other, suggesting that a model trained on data from one cell line performs wel</w:t>
      </w:r>
      <w:r>
        <w:t>l when using the data from another cell line, allowing for the opportunity to predict boundaries for cell lines that do not currently have Hi-C data available.</w:t>
      </w:r>
    </w:p>
    <w:p w14:paraId="649D2077" w14:textId="77777777" w:rsidR="00275611" w:rsidRDefault="00935B27">
      <w:pPr>
        <w:pStyle w:val="Heading2"/>
      </w:pPr>
      <w:bookmarkStart w:id="9" w:name="X1b819ffc97e9b46019a38b935a04e9aedb434a6"/>
      <w:r>
        <w:rPr>
          <w:i/>
        </w:rPr>
        <w:t>preciseTAD</w:t>
      </w:r>
      <w:r>
        <w:t xml:space="preserve"> identifies precise and biologically relevant domain boundaries</w:t>
      </w:r>
      <w:bookmarkEnd w:id="9"/>
    </w:p>
    <w:p w14:paraId="7AF36FBC" w14:textId="77777777" w:rsidR="00275611" w:rsidRDefault="00935B27">
      <w:pPr>
        <w:pStyle w:val="FirstParagraph"/>
      </w:pPr>
      <w:r>
        <w:t>Using our optimally bu</w:t>
      </w:r>
      <w:r>
        <w:t>ilt random forest model trained on Arrowhead/Peakachu boundaries, we attempted to predict boundaries at base-level resolution. Intuitively, instead of bin-level annotations, the predictor-response space was built on a base-level, that is, each base was ass</w:t>
      </w:r>
      <w:r>
        <w:t xml:space="preserve">ociated with a genomic annotation. The model trained on a bin-level space was then applied on a base-level space to predict each base’s probability of being a boundary. Our method, referred to as </w:t>
      </w:r>
      <w:r>
        <w:rPr>
          <w:i/>
        </w:rPr>
        <w:t>preciseTAD</w:t>
      </w:r>
      <w:r>
        <w:t>, uses density-based spatial clustering (DBSCAN) a</w:t>
      </w:r>
      <w:r>
        <w:t xml:space="preserve">nd partitioning </w:t>
      </w:r>
      <w:r>
        <w:lastRenderedPageBreak/>
        <w:t>around medoids (PAM) to predict the location of boundary regions and summit points (highest boundary probability) at base-level resolution (see Methods; Additional file: Figure S4).</w:t>
      </w:r>
    </w:p>
    <w:p w14:paraId="68127ED3" w14:textId="77777777" w:rsidR="00275611" w:rsidRDefault="00935B27">
      <w:pPr>
        <w:pStyle w:val="BodyText"/>
      </w:pPr>
      <w:r>
        <w:t>When trained using Arrowhead and Peakachu ground truth bou</w:t>
      </w:r>
      <w:r>
        <w:t xml:space="preserve">ndaries at 5 kb and 10 kb, respectively, the </w:t>
      </w:r>
      <w:r>
        <w:rPr>
          <w:i/>
        </w:rPr>
        <w:t>preciseTAD</w:t>
      </w:r>
      <w:r>
        <w:t xml:space="preserve"> model predicted a total of 12,258 TAD and 15,707 chromatin loop boundaries in GM12878, as well as 9,603 TAD and 11,154 chromatin loop boundaries in K562 cell line (Additional file: Table S4). We repor</w:t>
      </w:r>
      <w:r>
        <w:t>ted less predicted TAD boundaries at 5 kb than Arrowhead on both cell lines (Table 1, Additional file: Table S2). This can be attributed to Arrowhead’s inflation of called TADs, that, when visualized, often do not correspond to domains enriched in internal</w:t>
      </w:r>
      <w:r>
        <w:t xml:space="preserve"> interactions (Figure 5A) and signal of known drivers of domain boundaries (Figure 5B). </w:t>
      </w:r>
      <w:r>
        <w:rPr>
          <w:i/>
        </w:rPr>
        <w:t>preciseTAD</w:t>
      </w:r>
      <w:r>
        <w:t xml:space="preserve"> also predicted fewer chromatin loop boundaries than Peakachu (Table 1, Additional file: Table S2). This can be attributed to Peakachu’s use of only CTCF site</w:t>
      </w:r>
      <w:r>
        <w:t xml:space="preserve">s to call boundaries, while </w:t>
      </w:r>
      <w:r>
        <w:rPr>
          <w:i/>
        </w:rPr>
        <w:t>preciseTAD</w:t>
      </w:r>
      <w:r>
        <w:t xml:space="preserve"> leverages four known drivers of 3D chromatin, including CTCF, RAD21, SMC3, and ZNF143. These results suggest that genome annotation-driven predicted boundaries may be more biologically relevant than those detected fro</w:t>
      </w:r>
      <w:r>
        <w:t>m Hi-C data alone.</w:t>
      </w:r>
    </w:p>
    <w:p w14:paraId="2898447D" w14:textId="77777777" w:rsidR="00275611" w:rsidRDefault="00935B27">
      <w:pPr>
        <w:pStyle w:val="BodyText"/>
      </w:pPr>
      <w:r>
        <w:t xml:space="preserve">Next, we evaluated the biological significance of </w:t>
      </w:r>
      <w:r>
        <w:rPr>
          <w:i/>
        </w:rPr>
        <w:t>preciseTAD</w:t>
      </w:r>
      <w:r>
        <w:t xml:space="preserve"> boundary points. Signal of four known molecular drivers of 3D chromatin (CTCF, RAD21, SMC3, and ZNF143) colocalized more frequently around </w:t>
      </w:r>
      <w:r>
        <w:rPr>
          <w:i/>
        </w:rPr>
        <w:t>preciseTAD</w:t>
      </w:r>
      <w:r>
        <w:t>-predicted boundary points,</w:t>
      </w:r>
      <w:r>
        <w:t xml:space="preserve"> as compared to Arrowhead-called TAD and Peakachu loop boundaries, respectively (Figure 5C, 5D; Additional file: Figure S5A, S5B). Surprised by the poor signal distribution around Arrowhead boundaries, we compared signals centered on boundaries called by A</w:t>
      </w:r>
      <w:r>
        <w:t>rrowhead, Peakachu, and our SpectralTAD [33] TAD caller. We confirmed the poor signal distribution around Arrowhead boundaries, in contrast to the relatively well-performing Peakachu- and SpectralTAD-called boundaries (Additional file: Figure S5C, S5D). Si</w:t>
      </w:r>
      <w:r>
        <w:t xml:space="preserve">gnal enrichment heatmaps confirmed that </w:t>
      </w:r>
      <w:r>
        <w:rPr>
          <w:i/>
        </w:rPr>
        <w:t>preciseTAD</w:t>
      </w:r>
      <w:r>
        <w:t xml:space="preserve">-predicted boundaries were more enriched for the same genomic annotations than either Arrowhead or Peakachu boundaries alone (Additional file: Figure S6-S7). </w:t>
      </w:r>
      <w:r>
        <w:rPr>
          <w:i/>
        </w:rPr>
        <w:t>preciseTAD</w:t>
      </w:r>
      <w:r>
        <w:t xml:space="preserve"> </w:t>
      </w:r>
      <w:r>
        <w:lastRenderedPageBreak/>
        <w:t>boundaries were statistically signifi</w:t>
      </w:r>
      <w:r>
        <w:t xml:space="preserve">cantly closer to the top-ranked TFBSs (Wilcoxon p-value &lt; 0.001 versus Arrowhead and Peakachu boundaries, respectively, Figure 6A, Additional file: Figure S8). These results indicate that </w:t>
      </w:r>
      <w:r>
        <w:rPr>
          <w:i/>
        </w:rPr>
        <w:t>preciseTAD</w:t>
      </w:r>
      <w:r>
        <w:t>-predicted boundaries better reflected the known biology o</w:t>
      </w:r>
      <w:r>
        <w:t>f boundary formation.</w:t>
      </w:r>
    </w:p>
    <w:p w14:paraId="74882F19" w14:textId="77777777" w:rsidR="00275611" w:rsidRDefault="00935B27">
      <w:pPr>
        <w:pStyle w:val="Heading2"/>
      </w:pPr>
      <w:bookmarkStart w:id="10" w:name="X82a7eea853e0e01e431d7a59db75c235336d451"/>
      <w:r>
        <w:rPr>
          <w:i/>
        </w:rPr>
        <w:t>preciseTAD</w:t>
      </w:r>
      <w:r>
        <w:t xml:space="preserve"> boundaries are more conserved across cell lines</w:t>
      </w:r>
      <w:bookmarkEnd w:id="10"/>
    </w:p>
    <w:p w14:paraId="2783BB0F" w14:textId="77777777" w:rsidR="00275611" w:rsidRDefault="00935B27">
      <w:pPr>
        <w:pStyle w:val="FirstParagraph"/>
      </w:pPr>
      <w:r>
        <w:t>Previous studies suggest that TAD boundaries are conserved across cell lines [2,3,34,35]. To assess the level of cross-cell-line conservation, we evaluated the overlap between</w:t>
      </w:r>
      <w:r>
        <w:t xml:space="preserve"> cell line-specific boundaries detected by </w:t>
      </w:r>
      <w:r>
        <w:rPr>
          <w:i/>
        </w:rPr>
        <w:t>preciseTAD</w:t>
      </w:r>
      <w:r>
        <w:t xml:space="preserve">, Arrowhead, and Peakachu. Only 26% and 49% of boundaries were conserved between cell lines for Arrowhead and Peakachu boundaries (J=0.186 and J=0.388), respectively (Figure 6D, 6D. However, 45%/56% of </w:t>
      </w:r>
      <w:r>
        <w:rPr>
          <w:i/>
        </w:rPr>
        <w:t>p</w:t>
      </w:r>
      <w:r>
        <w:rPr>
          <w:i/>
        </w:rPr>
        <w:t>reciseTAD</w:t>
      </w:r>
      <w:r>
        <w:t xml:space="preserve">-predicted domain boundaries were conserved between GM12878 and K562 cell lines when using models trained on Arrowhead/Peakachu data (J=0.383 and J=0.444, respectively, Figure 6C, 6E). The better conservation of </w:t>
      </w:r>
      <w:r>
        <w:rPr>
          <w:i/>
        </w:rPr>
        <w:t>preciseTAD</w:t>
      </w:r>
      <w:r>
        <w:t>-predicted boundaries fur</w:t>
      </w:r>
      <w:r>
        <w:t>ther supports the notion of their higher biological relevance.</w:t>
      </w:r>
    </w:p>
    <w:p w14:paraId="03ABF45C" w14:textId="77777777" w:rsidR="00275611" w:rsidRDefault="00935B27">
      <w:pPr>
        <w:pStyle w:val="Heading2"/>
      </w:pPr>
      <w:bookmarkStart w:id="11" w:name="Xae467839b74e35f459ac82c292447b2712c4303"/>
      <w:r>
        <w:t xml:space="preserve">Boundaries predicted by </w:t>
      </w:r>
      <w:r>
        <w:rPr>
          <w:i/>
        </w:rPr>
        <w:t>preciseTAD</w:t>
      </w:r>
      <w:r>
        <w:t xml:space="preserve"> models trained on TAD and loop boundaries are highly overlapping</w:t>
      </w:r>
      <w:bookmarkEnd w:id="11"/>
    </w:p>
    <w:p w14:paraId="76CA32F4" w14:textId="77777777" w:rsidR="00275611" w:rsidRDefault="00935B27">
      <w:pPr>
        <w:pStyle w:val="FirstParagraph"/>
      </w:pPr>
      <w:r>
        <w:t xml:space="preserve">The majority of boundaries predicted by the Arrowhead-trained </w:t>
      </w:r>
      <w:r>
        <w:rPr>
          <w:i/>
        </w:rPr>
        <w:t>preciseTAD</w:t>
      </w:r>
      <w:r>
        <w:t xml:space="preserve"> model represented a subset of the larger group of boundaries predicted by the Peakachu-trained model (Additional file: Figure S9). This is expected as loop boundaries detected by Peak</w:t>
      </w:r>
      <w:r>
        <w:t>achu are more abundant, while comparatively wide TAD boundaries detected by Arrowhead likely represent the higher level of the 3D chromatin organization. Together with the results in Figure 4C, the high overlap between boundaries predicted by Arrowhead- an</w:t>
      </w:r>
      <w:r>
        <w:t>d Peakachu-trained models suggests that TAD and loop boundaries may be driven by similar molecular mechanisms.</w:t>
      </w:r>
    </w:p>
    <w:p w14:paraId="4611AA0F" w14:textId="77777777" w:rsidR="00275611" w:rsidRDefault="00935B27">
      <w:pPr>
        <w:pStyle w:val="BodyText"/>
      </w:pPr>
      <w:r>
        <w:lastRenderedPageBreak/>
        <w:t>Guided by the high predictive performance when training and testing on different cell lines (Figure 4D), we opted to evaluate whether models trai</w:t>
      </w:r>
      <w:r>
        <w:t>ned using Arrowhead/Peakachu ground truth data in one cell line could be leveraged to predict boundaries using annotation data from another cell line. We evaluated two scenarios: 1) training on GM12878 and predicting boundaries on GM12878 (GM on GM) vs. tr</w:t>
      </w:r>
      <w:r>
        <w:t>aining on K562 and predicting on GM12878 (K on GM), and 2) training on K562 and predicting boundaries on K562 (K on K) vs. training on GM12878 and predicting boundaries on K562 (GM on K). Using Arrowhead-trained models, 76% (J=0.701) and 81% (J=0.751) of p</w:t>
      </w:r>
      <w:r>
        <w:t>redicted boundaries overlapped in both cross-cell-line prediction scenarios (Additional file: Figure S10A, S10B). Likewise, when using Peakachu-trained models, we observed 85% (J=0.705) and 88% (J=0.759) overlaps (Additional file: Figure S10C, S10D). Furth</w:t>
      </w:r>
      <w:r>
        <w:t xml:space="preserve">ermore, boundaries predicted on unseen annotation data exhibited similar level of enrichment for CTCF, RAD21, SMC3, and ZNF143 as did those trained and predicted on the same cell line (Additional file: Figure S10). These results indicate that </w:t>
      </w:r>
      <w:r>
        <w:rPr>
          <w:i/>
        </w:rPr>
        <w:t>preciseTAD</w:t>
      </w:r>
      <w:r>
        <w:t xml:space="preserve"> pr</w:t>
      </w:r>
      <w:r>
        <w:t>e-trained models can be successfully used to predict domain boundaries for cell lines lacking Hi-C data but for which genome annotation data is available.</w:t>
      </w:r>
    </w:p>
    <w:p w14:paraId="2EB5DF30" w14:textId="77777777" w:rsidR="00275611" w:rsidRDefault="00935B27">
      <w:pPr>
        <w:pStyle w:val="Heading1"/>
      </w:pPr>
      <w:bookmarkStart w:id="12" w:name="discussion"/>
      <w:r>
        <w:t>Discussion</w:t>
      </w:r>
      <w:bookmarkEnd w:id="12"/>
    </w:p>
    <w:p w14:paraId="123FF0D5" w14:textId="77777777" w:rsidR="00275611" w:rsidRDefault="00935B27">
      <w:pPr>
        <w:pStyle w:val="FirstParagraph"/>
      </w:pPr>
      <w:r>
        <w:t xml:space="preserve">We present </w:t>
      </w:r>
      <w:r>
        <w:rPr>
          <w:i/>
        </w:rPr>
        <w:t>preciseTAD</w:t>
      </w:r>
      <w:r>
        <w:t>, a machine learning approach for precise prediction of TAD or loop b</w:t>
      </w:r>
      <w:r>
        <w:t xml:space="preserve">oundaries from functional genomic annotations. </w:t>
      </w:r>
      <w:r>
        <w:rPr>
          <w:i/>
        </w:rPr>
        <w:t>preciseTAD</w:t>
      </w:r>
      <w:r>
        <w:t xml:space="preserve"> leverages a random forest (RF) classification model built on low-resolution domain boundaries obtained from domain calling tools, and high-resolution genomic annotations as the predictor space. </w:t>
      </w:r>
      <w:r>
        <w:rPr>
          <w:i/>
        </w:rPr>
        <w:t>prec</w:t>
      </w:r>
      <w:r>
        <w:rPr>
          <w:i/>
        </w:rPr>
        <w:t>iseTAD</w:t>
      </w:r>
      <w:r>
        <w:t xml:space="preserve"> predicts the probability of each base being a boundary, and identifies the precise location of boundary regions and the most likely boundary points. </w:t>
      </w:r>
      <w:r>
        <w:rPr>
          <w:i/>
        </w:rPr>
        <w:t>preciseTAD</w:t>
      </w:r>
      <w:r>
        <w:t xml:space="preserve"> was benchmarked against two boundary calling tools, Arrowhead [36], an established TAD-ca</w:t>
      </w:r>
      <w:r>
        <w:t xml:space="preserve">ller, and Peakachu [16] a recently published algorithm for predicting chromatin loops. We first optimized our RF model by </w:t>
      </w:r>
      <w:r>
        <w:lastRenderedPageBreak/>
        <w:t>systematically comparing different combinations of genome binning (resolution), feature engineering procedures, and resampling techniq</w:t>
      </w:r>
      <w:r>
        <w:t>ues. Our results demonstrate that genomic distance between boundary regions and genomic annotations coupled with random under-sampling results in best model performance. We show that binding of four transcription factors (SMC3, RAD21, CTCF, ZNF143) is suff</w:t>
      </w:r>
      <w:r>
        <w:t xml:space="preserve">icient for accurate boundary predictions. </w:t>
      </w:r>
      <w:r>
        <w:rPr>
          <w:i/>
        </w:rPr>
        <w:t>preciseTAD</w:t>
      </w:r>
      <w:r>
        <w:t xml:space="preserve"> is implemented as an R package, provides the pre-trained models, and allows for precise prediction of boundaries for any cell line for which the genomic annotations are available.</w:t>
      </w:r>
    </w:p>
    <w:p w14:paraId="3A06DE4A" w14:textId="77777777" w:rsidR="00275611" w:rsidRDefault="00935B27">
      <w:pPr>
        <w:pStyle w:val="BodyText"/>
      </w:pPr>
      <w:r>
        <w:t>Our machine learning fr</w:t>
      </w:r>
      <w:r>
        <w:t xml:space="preserve">amework yielded several interesting observations. We first demonstrated that RF models built using </w:t>
      </w:r>
      <w:r>
        <w:rPr>
          <w:i/>
        </w:rPr>
        <w:t>distance</w:t>
      </w:r>
      <w:r>
        <w:t>-type predictors outperformed models built on previously published feature engineering techniques, including signal strength, overlap counts, and ove</w:t>
      </w:r>
      <w:r>
        <w:t>rlap percents [37–40]. We further demonstrated that class imbalance hinders boundary prediction, but can be effectively addressed by a simple random under-sampling technique, an aspect of boundary prediction unaddressed in previous studies [37–39]. We show</w:t>
      </w:r>
      <w:r>
        <w:t>ed that information about only four transcription factors (CTCF, SMC3, RAD21, ZNF143) is necessary and sufficient for accurate boundary prediction, outperforming histone modification- and BroadHMM-built models [38,39]. These are known components of the loo</w:t>
      </w:r>
      <w:r>
        <w:t>p extrusion model, an established theory of how loops are made by a ring-shaped adenosine triphosphatase-driven complex called cohesin [18,20–24]. Interestingly, the same transcription factors accurately predicted both TAD and loop boundaries, suggesting a</w:t>
      </w:r>
      <w:r>
        <w:t xml:space="preserve"> similarity of the mechanisms of TAD and loop formation. This suggested that the random forest model, when tuned and feature engineered correctly, is highly effective in predicting biologically relevant domain boundaries.</w:t>
      </w:r>
    </w:p>
    <w:p w14:paraId="348A9E97" w14:textId="77777777" w:rsidR="00275611" w:rsidRDefault="00935B27">
      <w:pPr>
        <w:pStyle w:val="BodyText"/>
      </w:pPr>
      <w:r>
        <w:t>Besides balanced accuracy (BA), we</w:t>
      </w:r>
      <w:r>
        <w:t xml:space="preserve"> investigated five other performance metrics, including accuracy, area under the receiver operating characteristic curve (AUROC), precision, F1-score, and area under the precision-recall curve (AUPRC) (Additional file: Table S5). Our aim was to have a bala</w:t>
      </w:r>
      <w:r>
        <w:t xml:space="preserve">nced metric sensitive to class imbalance such that it would not favor one component </w:t>
      </w:r>
      <w:r>
        <w:lastRenderedPageBreak/>
        <w:t>of the confusion matrix. The accuracy metric can be artificially inflated by true negatives (TN), the set of genomic bins correctly predicted as not containing a ground tru</w:t>
      </w:r>
      <w:r>
        <w:t>th boundary. AUROC captures how a model generally performs across different thresholds. However, it doesn’t place more emphasis on one class over the other, so it does not reflect the minority class well. Precision indicates the rate at which positive pred</w:t>
      </w:r>
      <w:r>
        <w:t>ictions are correct and can be artificially deflated by low proportions of true positives (TP), the set of genomic bins correctly predicted as containing a ground truth boundary. While F1-score is a composite metric, it can be susceptible to different valu</w:t>
      </w:r>
      <w:r>
        <w:t>es for precision and recall. Lastly, AUPRC is insensitive toward class imbalance, preventing us from investigating its effect, and also omits from its calculation TN values. All of these are important considerations to make when choosing a performance metr</w:t>
      </w:r>
      <w:r>
        <w:t>ic. For these reasons, we opted to report balanced accuracy (BA). The BA benefits from incorporating all components of the confusion matrix, while also being sensitive to class imbalance, a necessary characteristic when comparing performances to models bui</w:t>
      </w:r>
      <w:r>
        <w:t>lt using no data resampling.</w:t>
      </w:r>
    </w:p>
    <w:p w14:paraId="44F2DB4D" w14:textId="77777777" w:rsidR="00275611" w:rsidRDefault="00935B27">
      <w:pPr>
        <w:pStyle w:val="BodyText"/>
      </w:pPr>
      <w:r>
        <w:t xml:space="preserve">Guided by both low-resolution Hi-C data and high-resolution genome annotation data, </w:t>
      </w:r>
      <w:r>
        <w:rPr>
          <w:i/>
        </w:rPr>
        <w:t>preciseTAD</w:t>
      </w:r>
      <w:r>
        <w:t xml:space="preserve"> </w:t>
      </w:r>
      <w:r>
        <w:t xml:space="preserve">predicts base-level resolution boundaries, alleviating resolution limitations of Hi-C data. However, a natural question is how resolution (width) of boundary regions identified by </w:t>
      </w:r>
      <w:r>
        <w:rPr>
          <w:i/>
        </w:rPr>
        <w:t>preciseTAD</w:t>
      </w:r>
      <w:r>
        <w:t xml:space="preserve"> (PTBRs) compares with that of Hi-C data. Our preliminary observat</w:t>
      </w:r>
      <w:r>
        <w:t xml:space="preserve">ions indicate that, under most optimal settings, the width of PTBRs parallels the resolution of Hi-C data. Furthermore, each PTBR is formed by several sub-regions with the probability of being a boundary defined by the threshold </w:t>
      </w:r>
      <m:oMath>
        <m:r>
          <w:rPr>
            <w:rFonts w:ascii="Cambria Math" w:hAnsi="Cambria Math"/>
          </w:rPr>
          <m:t>t</m:t>
        </m:r>
      </m:oMath>
      <w:r>
        <w:t xml:space="preserve"> (</w:t>
      </w:r>
      <m:oMath>
        <m:r>
          <w:rPr>
            <w:rFonts w:ascii="Cambria Math" w:hAnsi="Cambria Math"/>
          </w:rPr>
          <m:t>t</m:t>
        </m:r>
        <m:r>
          <w:rPr>
            <w:rFonts w:ascii="Cambria Math" w:hAnsi="Cambria Math"/>
          </w:rPr>
          <m:t>=1</m:t>
        </m:r>
      </m:oMath>
      <w:r>
        <w:t xml:space="preserve"> in the current stu</w:t>
      </w:r>
      <w:r>
        <w:t>dy). Yet, the preciseTAD boundary points (PTBPs, medoids identified within each PTBR) had the highest density of CTCF and other transcription factor binding signal (Figure 5). Our results are in line with the emergent view that domain boundaries are dynami</w:t>
      </w:r>
      <w:r>
        <w:t>c [41] and their well-defined location arise as a consequence of the population average in bulk Hi-C data [18,42].</w:t>
      </w:r>
    </w:p>
    <w:p w14:paraId="33D3E7A6" w14:textId="77777777" w:rsidR="00275611" w:rsidRDefault="00935B27">
      <w:pPr>
        <w:pStyle w:val="BodyText"/>
      </w:pPr>
      <w:r>
        <w:lastRenderedPageBreak/>
        <w:t xml:space="preserve">We show that, unlike Arrowhead, </w:t>
      </w:r>
      <w:r>
        <w:rPr>
          <w:i/>
        </w:rPr>
        <w:t>preciseTAD</w:t>
      </w:r>
      <w:r>
        <w:t xml:space="preserve"> does not inflate the number of predicted boundaries, providing only the most biologically meaningf</w:t>
      </w:r>
      <w:r>
        <w:t xml:space="preserve">ul boundaries that demarcate regions of high inter-chromosomal interactions. </w:t>
      </w:r>
      <w:r>
        <w:rPr>
          <w:i/>
        </w:rPr>
        <w:t>preciseTAD</w:t>
      </w:r>
      <w:r>
        <w:t xml:space="preserve"> boundaries predicted using models trained on either TAD or loop boundaries (Arrowhead and Peakachu data) were enriched for known architectural transcription factors inc</w:t>
      </w:r>
      <w:r>
        <w:t xml:space="preserve">luding CTCF, RAD21, SMC3, and ZNF143, supporting recent observations that TADs and loops may be generated by similar mechanisms [20]. Likewise, </w:t>
      </w:r>
      <w:r>
        <w:rPr>
          <w:i/>
        </w:rPr>
        <w:t>preciseTAD</w:t>
      </w:r>
      <w:r>
        <w:t xml:space="preserve"> boundaries were more conserved between GM12878 and K562 cell lines, a known feature among the 3D arch</w:t>
      </w:r>
      <w:r>
        <w:t>itecture of the human genome, further highlighting their biological significance.</w:t>
      </w:r>
    </w:p>
    <w:p w14:paraId="636A9A81" w14:textId="77777777" w:rsidR="00275611" w:rsidRDefault="00935B27">
      <w:pPr>
        <w:pStyle w:val="BodyText"/>
      </w:pPr>
      <w:r>
        <w:rPr>
          <w:i/>
        </w:rPr>
        <w:t>preciseTAD</w:t>
      </w:r>
      <w:r>
        <w:t xml:space="preserve"> offers flexibility in controlling both the number of predicted boundaries and the distance between them. The two primary parameters are the probability threshold </w:t>
      </w:r>
      <m:oMath>
        <m:r>
          <w:rPr>
            <w:rFonts w:ascii="Cambria Math" w:hAnsi="Cambria Math"/>
          </w:rPr>
          <m:t>t</m:t>
        </m:r>
      </m:oMath>
      <w:r>
        <w:t xml:space="preserve"> and </w:t>
      </w:r>
      <m:oMath>
        <m:r>
          <w:rPr>
            <w:rFonts w:ascii="Cambria Math" w:hAnsi="Cambria Math"/>
          </w:rPr>
          <m:t>ϵ</m:t>
        </m:r>
      </m:oMath>
      <w:r>
        <w:t xml:space="preserve"> (referred to as eps; parameter of DBSCAN). The combination of these two quantities changes the resulting number of predicted boundaries from </w:t>
      </w:r>
      <w:r>
        <w:rPr>
          <w:i/>
        </w:rPr>
        <w:t>preciseTAD</w:t>
      </w:r>
      <w:r>
        <w:t xml:space="preserve">. Lower values of </w:t>
      </w:r>
      <m:oMath>
        <m:r>
          <w:rPr>
            <w:rFonts w:ascii="Cambria Math" w:hAnsi="Cambria Math"/>
          </w:rPr>
          <m:t>t</m:t>
        </m:r>
      </m:oMath>
      <w:r>
        <w:t xml:space="preserve"> and </w:t>
      </w:r>
      <m:oMath>
        <m:r>
          <w:rPr>
            <w:rFonts w:ascii="Cambria Math" w:hAnsi="Cambria Math"/>
          </w:rPr>
          <m:t>ϵ</m:t>
        </m:r>
      </m:oMath>
      <w:r>
        <w:t xml:space="preserve"> will result in more clusters of bases, and therefore, more boundarie</w:t>
      </w:r>
      <w:r>
        <w:t>s. As a heuristic, we evaluated the pairwise combination of 3 different thresholds (</w:t>
      </w:r>
      <m:oMath>
        <m:r>
          <w:rPr>
            <w:rFonts w:ascii="Cambria Math" w:hAnsi="Cambria Math"/>
          </w:rPr>
          <m:t>t</m:t>
        </m:r>
        <m:r>
          <w:rPr>
            <w:rFonts w:ascii="Cambria Math" w:hAnsi="Cambria Math"/>
          </w:rPr>
          <m:t>=(0.975,0.99,1.0)</m:t>
        </m:r>
      </m:oMath>
      <w:r>
        <w:t xml:space="preserve">) and 6 different </w:t>
      </w:r>
      <m:oMath>
        <m:r>
          <w:rPr>
            <w:rFonts w:ascii="Cambria Math" w:hAnsi="Cambria Math"/>
          </w:rPr>
          <m:t>ϵ</m:t>
        </m:r>
      </m:oMath>
      <w:r>
        <w:t xml:space="preserve"> values (</w:t>
      </w:r>
      <m:oMath>
        <m:r>
          <w:rPr>
            <w:rFonts w:ascii="Cambria Math" w:hAnsi="Cambria Math"/>
          </w:rPr>
          <m:t>ϵ</m:t>
        </m:r>
        <m:r>
          <w:rPr>
            <w:rFonts w:ascii="Cambria Math" w:hAnsi="Cambria Math"/>
          </w:rPr>
          <m:t>=(1000,5000,10000,15000,20000,25000)</m:t>
        </m:r>
      </m:oMath>
      <w:r>
        <w:t>)). We found that the normalized overlaps - calculated as the total number of ChIP-seq</w:t>
      </w:r>
      <w:r>
        <w:t xml:space="preserve"> peaks that overlapped within a given flanked boundary, divided by the number of boundaries - between top TFBS sites and flanked </w:t>
      </w:r>
      <w:r>
        <w:rPr>
          <w:i/>
        </w:rPr>
        <w:t>preciseTAD</w:t>
      </w:r>
      <w:r>
        <w:t xml:space="preserve"> boundaries converged for combinations of </w:t>
      </w:r>
      <m:oMath>
        <m:r>
          <w:rPr>
            <w:rFonts w:ascii="Cambria Math" w:hAnsi="Cambria Math"/>
          </w:rPr>
          <m:t>t</m:t>
        </m:r>
        <m:r>
          <w:rPr>
            <w:rFonts w:ascii="Cambria Math" w:hAnsi="Cambria Math"/>
          </w:rPr>
          <m:t>=1.0</m:t>
        </m:r>
      </m:oMath>
      <w:r>
        <w:t xml:space="preserve"> and </w:t>
      </w:r>
      <m:oMath>
        <m:r>
          <w:rPr>
            <w:rFonts w:ascii="Cambria Math" w:hAnsi="Cambria Math"/>
          </w:rPr>
          <m:t>ϵ</m:t>
        </m:r>
        <m:r>
          <w:rPr>
            <w:rFonts w:ascii="Cambria Math" w:hAnsi="Cambria Math"/>
          </w:rPr>
          <m:t>=10000</m:t>
        </m:r>
      </m:oMath>
      <w:r>
        <w:t xml:space="preserve"> (Additional file: Figure S11).</w:t>
      </w:r>
    </w:p>
    <w:p w14:paraId="0BB6207B" w14:textId="77777777" w:rsidR="00275611" w:rsidRDefault="00935B27">
      <w:pPr>
        <w:pStyle w:val="BodyText"/>
      </w:pPr>
      <w:r>
        <w:t xml:space="preserve">A limitation of </w:t>
      </w:r>
      <w:r>
        <w:rPr>
          <w:i/>
        </w:rPr>
        <w:t>preciseT</w:t>
      </w:r>
      <w:r>
        <w:rPr>
          <w:i/>
        </w:rPr>
        <w:t>AD</w:t>
      </w:r>
      <w:r>
        <w:t xml:space="preserve"> is that it is dependent on the “ground truth” boundaries provided by a domain caller. Given the wide variety of domain callers and their variable performance [12,13], defining “ground truth” boundaries is challenging. Ultra-deep Hi-C sequencing [27] and</w:t>
      </w:r>
      <w:r>
        <w:t xml:space="preserve"> newer technologies for precise mapping of chromatin interactions (e.g., Micro-C [43]), coupled with more precise technologies for genomic annotation profiling (e.g., CUT&amp;RUN for precise </w:t>
      </w:r>
      <w:r>
        <w:lastRenderedPageBreak/>
        <w:t>mapping of transcription factor binding sites) will help to refine th</w:t>
      </w:r>
      <w:r>
        <w:t>e location and the genomic signatures of the “ground truth” boundaries. In the current work, we feel that the total number of domain boundaries is sufficient to guide learning of the association between genomic annotations and boundaries for precise bounda</w:t>
      </w:r>
      <w:r>
        <w:t>ry predictions. Indeed, models trained on the larger number of Peakachu-predicted boundaries performed better than those trained on Arrowhead boundaries. Although we provide models trained on both boundary types, we recommend Peakachu-trained models for th</w:t>
      </w:r>
      <w:r>
        <w:t>e base-level prediction of domain boundaries.</w:t>
      </w:r>
    </w:p>
    <w:p w14:paraId="6508CB73" w14:textId="77777777" w:rsidR="00275611" w:rsidRDefault="00935B27">
      <w:pPr>
        <w:pStyle w:val="BodyText"/>
      </w:pPr>
      <w:r>
        <w:t xml:space="preserve">Another limitation of </w:t>
      </w:r>
      <w:r>
        <w:rPr>
          <w:i/>
        </w:rPr>
        <w:t>preciseTAD</w:t>
      </w:r>
      <w:r>
        <w:t xml:space="preserve"> is that it does not distinguish boundary types. The hierarchical nature of TAD boundaries [33,44,45] is not considered by </w:t>
      </w:r>
      <w:r>
        <w:rPr>
          <w:i/>
        </w:rPr>
        <w:t>preciseTAD</w:t>
      </w:r>
      <w:r>
        <w:t xml:space="preserve"> due to the lack of gold standard of TAD hier</w:t>
      </w:r>
      <w:r>
        <w:t xml:space="preserve">archy. </w:t>
      </w:r>
      <w:r>
        <w:rPr>
          <w:i/>
        </w:rPr>
        <w:t>preciseTAD</w:t>
      </w:r>
      <w:r>
        <w:t xml:space="preserve"> also does not consider the directionality of CTCF binding [46] as it predicts individual boundaries in contrast to pairs of convergent CTCF motifs marking individual domains. Recent research distinguishes CTCF-associated boundaries, CTCF-</w:t>
      </w:r>
      <w:r>
        <w:t>negative YY1-enriched boundaries, CTCF- and YY1- depleted promoter boundaries, and the fourth class of weak boundaries largely depleted of all three features [43]. Furthermore, actively transcribed regions can serve as TAD boundaries themselves, independen</w:t>
      </w:r>
      <w:r>
        <w:t xml:space="preserve">tly of CTCF binding [46]. This may lead to some TAD boundaries being undetected by </w:t>
      </w:r>
      <w:r>
        <w:rPr>
          <w:i/>
        </w:rPr>
        <w:t>preciseTAD</w:t>
      </w:r>
      <w:r>
        <w:t xml:space="preserve"> despite being detected by domain callers. Our future work will involve incorporating the directionality of CTCF binding in predictive modeling, including addition</w:t>
      </w:r>
      <w:r>
        <w:t>al predictor types, and defining separate models trained on different boundary types.</w:t>
      </w:r>
    </w:p>
    <w:p w14:paraId="1D71E088" w14:textId="77777777" w:rsidR="00275611" w:rsidRDefault="00935B27">
      <w:pPr>
        <w:pStyle w:val="BodyText"/>
      </w:pPr>
      <w:r>
        <w:t xml:space="preserve">Using the provided pre-trained models, </w:t>
      </w:r>
      <w:r>
        <w:rPr>
          <w:i/>
        </w:rPr>
        <w:t>preciseTAD</w:t>
      </w:r>
      <w:r>
        <w:t xml:space="preserve"> is able to identify precise domain boundaries using cell line-specific genome annotation information of only four transc</w:t>
      </w:r>
      <w:r>
        <w:t>ription factors, CTCF, SMC3, RAD21, ZNF143. Although the ENCODE, NIH Roadmap Epigenomics, FANTOM5, BLUEPRINT, and other members of the International Human Epigenome Consortium (IHEC) [47] have been actively cataloging cell line-specific genome annotation d</w:t>
      </w:r>
      <w:r>
        <w:t xml:space="preserve">atasets, these data remain very sparse. To date (September 2020), the ENCODE project has </w:t>
      </w:r>
      <w:r>
        <w:lastRenderedPageBreak/>
        <w:t>only five cell lines (GM12878, K562, H1-hESC, HeLa-S3, HepG2) with all four transcription factor genomic annotations. Efforts to impute missing cell line-specific geno</w:t>
      </w:r>
      <w:r>
        <w:t xml:space="preserve">me annotation information [48] started to appear. We envision the broader availability of cell line-specific genomic annotations will enable a more systematic analysis of domain boundaries using </w:t>
      </w:r>
      <w:r>
        <w:rPr>
          <w:i/>
        </w:rPr>
        <w:t>preciseTAD</w:t>
      </w:r>
      <w:r>
        <w:t xml:space="preserve">. </w:t>
      </w:r>
    </w:p>
    <w:p w14:paraId="34BF8E82" w14:textId="77777777" w:rsidR="00275611" w:rsidRDefault="00935B27">
      <w:pPr>
        <w:pStyle w:val="Heading1"/>
      </w:pPr>
      <w:bookmarkStart w:id="13" w:name="conclusion"/>
      <w:r>
        <w:t>Conclusion</w:t>
      </w:r>
      <w:bookmarkEnd w:id="13"/>
    </w:p>
    <w:p w14:paraId="33CAE78C" w14:textId="77777777" w:rsidR="00275611" w:rsidRDefault="00935B27">
      <w:pPr>
        <w:pStyle w:val="FirstParagraph"/>
      </w:pPr>
      <w:r>
        <w:t>In summary, we demonstrate that domai</w:t>
      </w:r>
      <w:r>
        <w:t xml:space="preserve">n boundary prediction is a multi-faceted problem requiring consideration of multiple statistical and biological properties of genomic data. Simply considering the properties of Hi-C contact matrices ignores the fundamental roles of known molecular drivers </w:t>
      </w:r>
      <w:r>
        <w:t xml:space="preserve">of the 3D chromatin structures. Instead, we propose </w:t>
      </w:r>
      <w:r>
        <w:rPr>
          <w:i/>
        </w:rPr>
        <w:t>preciseTAD</w:t>
      </w:r>
      <w:r>
        <w:t xml:space="preserve">, a supervised machine learning framework that leverages both Hi-C contact matrix information and genomic annotations. Our method introduces three concepts - </w:t>
      </w:r>
      <w:r>
        <w:rPr>
          <w:i/>
        </w:rPr>
        <w:t>shifted binning</w:t>
      </w:r>
      <w:r>
        <w:t xml:space="preserve">, </w:t>
      </w:r>
      <w:r>
        <w:rPr>
          <w:i/>
        </w:rPr>
        <w:t>distance</w:t>
      </w:r>
      <w:r>
        <w:t>-type predi</w:t>
      </w:r>
      <w:r>
        <w:t xml:space="preserve">ctors, and </w:t>
      </w:r>
      <w:r>
        <w:rPr>
          <w:i/>
        </w:rPr>
        <w:t>random undersampling</w:t>
      </w:r>
      <w:r>
        <w:t xml:space="preserve"> - which we use to build random forest classification models for predicting boundary regions. Our method can bridge the resolution gap between 1D ChIP-seq annotations and 3D Hi-C sequencing data for more precise and biologica</w:t>
      </w:r>
      <w:r>
        <w:t xml:space="preserve">lly meaningful boundary identification. We introduce </w:t>
      </w:r>
      <w:r>
        <w:rPr>
          <w:i/>
        </w:rPr>
        <w:t>preciseTAD</w:t>
      </w:r>
      <w:r>
        <w:t xml:space="preserve">, an open source R package for leveraging random forests to predict domain boundaries at base-level resolution. We hope that </w:t>
      </w:r>
      <w:r>
        <w:rPr>
          <w:i/>
        </w:rPr>
        <w:t>preciseTAD</w:t>
      </w:r>
      <w:r>
        <w:t xml:space="preserve"> will serve as an efficient and easy-to-use tool to furthe</w:t>
      </w:r>
      <w:r>
        <w:t>r explore the genome’s 3D organization.</w:t>
      </w:r>
    </w:p>
    <w:p w14:paraId="0A21A2EE" w14:textId="77777777" w:rsidR="00275611" w:rsidRDefault="00935B27">
      <w:pPr>
        <w:pStyle w:val="Heading1"/>
      </w:pPr>
      <w:bookmarkStart w:id="14" w:name="methods"/>
      <w:r>
        <w:t>Methods</w:t>
      </w:r>
      <w:bookmarkEnd w:id="14"/>
    </w:p>
    <w:p w14:paraId="4774395C" w14:textId="77777777" w:rsidR="00275611" w:rsidRDefault="00935B27">
      <w:pPr>
        <w:pStyle w:val="Heading2"/>
      </w:pPr>
      <w:bookmarkStart w:id="15" w:name="data-sources"/>
      <w:r>
        <w:t>Data sources</w:t>
      </w:r>
      <w:bookmarkEnd w:id="15"/>
    </w:p>
    <w:p w14:paraId="50C96167" w14:textId="77777777" w:rsidR="00275611" w:rsidRDefault="00935B27">
      <w:pPr>
        <w:pStyle w:val="FirstParagraph"/>
      </w:pPr>
      <w:r>
        <w:t xml:space="preserve">TAD and loop boundaries called by Arrowhead [36] and Peakachu [16] tools were used for training. The autosomal genomic coordinates in the GRCh37/hg19 human genome assembly </w:t>
      </w:r>
      <w:r>
        <w:lastRenderedPageBreak/>
        <w:t>were considered. Arrowh</w:t>
      </w:r>
      <w:r>
        <w:t xml:space="preserve">ead-defined TAD boundaries were called from the GM12878 and K562 cell line Hi-C data (MAPQ&gt;0, 5 kb, 10 kb, 25 kb, 50 kb, and 100 kb resolutions) using the default parameters (Additional file: Arrowhead Script). Peakachu chromatin loop boundaries called at </w:t>
      </w:r>
      <w:r>
        <w:t>10 kb for the GM12878 and K562 cell lines were downloaded from the Yue lab website (Additional file: Table S1). Unique boundaries were considered as the midpoints within the coordinate of each chromatin loop anchor. Chromosome 9 was excluded from all downs</w:t>
      </w:r>
      <w:r>
        <w:t>tream analyses due to the sparsity of contact matrices at 5 kb and 10 kb resolutions for the K562 cell line. Cell-line-specific genomic annotations (BroadHMM chromatin states (BroadHMM), histone modifications (HM), and transcription factor binding sites (T</w:t>
      </w:r>
      <w:r>
        <w:t>FBS)) were obtained from the UCSC Genome Browser Database [49] (Additional file: Table 3).</w:t>
      </w:r>
    </w:p>
    <w:p w14:paraId="58AA843C" w14:textId="77777777" w:rsidR="00275611" w:rsidRDefault="00935B27">
      <w:pPr>
        <w:pStyle w:val="Heading2"/>
      </w:pPr>
      <w:bookmarkStart w:id="16" w:name="Xd5c21b02459875bfc6b649515284f225b3d879c"/>
      <w:r>
        <w:t>Shifted-binning for binary classification</w:t>
      </w:r>
      <w:bookmarkEnd w:id="16"/>
    </w:p>
    <w:p w14:paraId="209FC724" w14:textId="77777777" w:rsidR="00275611" w:rsidRDefault="00935B27">
      <w:pPr>
        <w:pStyle w:val="FirstParagraph"/>
      </w:pPr>
      <w:r>
        <w:t xml:space="preserve">In Hi-C, each chromosome is binned into non-overlapping regions of length </w:t>
      </w:r>
      <w:r>
        <w:rPr>
          <w:i/>
        </w:rPr>
        <w:t>r</w:t>
      </w:r>
      <w:r>
        <w:t xml:space="preserve">, typically, 5 kb and above. The </w:t>
      </w:r>
      <w:r>
        <w:rPr>
          <w:i/>
        </w:rPr>
        <w:t>r</w:t>
      </w:r>
      <w:r>
        <w:t xml:space="preserve"> parameter def</w:t>
      </w:r>
      <w:r>
        <w:t xml:space="preserve">ines the resolution of Hi-C data. Here, we designed a strategy called </w:t>
      </w:r>
      <w:r>
        <w:rPr>
          <w:i/>
        </w:rPr>
        <w:t>shifted binning</w:t>
      </w:r>
      <w:r>
        <w:t xml:space="preserve"> that partitions the genome into regions of the same length </w:t>
      </w:r>
      <w:r>
        <w:rPr>
          <w:i/>
        </w:rPr>
        <w:t>r</w:t>
      </w:r>
      <w:r>
        <w:t>, but with middle points corresponding to boundaries defined by the original binning.</w:t>
      </w:r>
    </w:p>
    <w:p w14:paraId="2CA785A6" w14:textId="77777777" w:rsidR="00275611" w:rsidRDefault="00935B27">
      <w:pPr>
        <w:pStyle w:val="BodyText"/>
      </w:pPr>
      <w:r>
        <w:t xml:space="preserve">To create shifted binning, the first shifted bin was set to start at half of the resolution </w:t>
      </w:r>
      <w:r>
        <w:rPr>
          <w:i/>
        </w:rPr>
        <w:t>r</w:t>
      </w:r>
      <w:r>
        <w:t xml:space="preserve"> and continued in intervals of length </w:t>
      </w:r>
      <w:r>
        <w:rPr>
          <w:i/>
        </w:rPr>
        <w:t>r</w:t>
      </w:r>
      <w:r>
        <w:t xml:space="preserve"> until the end of the chromosome (</w:t>
      </w:r>
      <w:r>
        <w:rPr>
          <w:i/>
        </w:rPr>
        <w:t>mod r</w:t>
      </w:r>
      <w:r>
        <w:t xml:space="preserve"> + </w:t>
      </w:r>
      <w:r>
        <w:rPr>
          <w:i/>
        </w:rPr>
        <w:t>r/2</w:t>
      </w:r>
      <w:r>
        <w:t>). The shifted bins, referred hereafter as bins for simplicity, were then defin</w:t>
      </w:r>
      <w:r>
        <w:t>ed as boundary-containing regions (</w:t>
      </w:r>
      <w:r>
        <w:rPr>
          <w:i/>
        </w:rPr>
        <w:t>Y = 1</w:t>
      </w:r>
      <w:r>
        <w:t>) if they contained a TAD (or loop) boundary, and non-boundary regions (</w:t>
      </w:r>
      <w:r>
        <w:rPr>
          <w:i/>
        </w:rPr>
        <w:t>Y = 0</w:t>
      </w:r>
      <w:r>
        <w:t>) otherwise, thus establishing the binary response vector (</w:t>
      </w:r>
      <w:r>
        <w:rPr>
          <w:b/>
        </w:rPr>
        <w:t>Y</w:t>
      </w:r>
      <w:r>
        <w:t>) used for classification (Figure 1A).</w:t>
      </w:r>
    </w:p>
    <w:p w14:paraId="31BEF56A" w14:textId="77777777" w:rsidR="00275611" w:rsidRDefault="00935B27">
      <w:pPr>
        <w:pStyle w:val="Heading2"/>
      </w:pPr>
      <w:bookmarkStart w:id="17" w:name="feature-engineering"/>
      <w:r>
        <w:t>Feature engineering</w:t>
      </w:r>
      <w:bookmarkEnd w:id="17"/>
    </w:p>
    <w:p w14:paraId="05D9C19F" w14:textId="77777777" w:rsidR="00275611" w:rsidRDefault="00935B27">
      <w:pPr>
        <w:pStyle w:val="FirstParagraph"/>
      </w:pPr>
      <w:r>
        <w:t>Cell line-specific g</w:t>
      </w:r>
      <w:r>
        <w:t>enomic annotations were used to build the predictor space. Bins were annotated by one of either the average signal strength of the corresponding annotation (</w:t>
      </w:r>
      <w:r>
        <w:rPr>
          <w:i/>
        </w:rPr>
        <w:t>Peak Signal Strength</w:t>
      </w:r>
      <w:r>
        <w:t>), the number of overlaps with an annotation (</w:t>
      </w:r>
      <w:r>
        <w:rPr>
          <w:i/>
        </w:rPr>
        <w:t>Overlap Count (OC)</w:t>
      </w:r>
      <w:r>
        <w:t xml:space="preserve">), the percent </w:t>
      </w:r>
      <w:r>
        <w:lastRenderedPageBreak/>
        <w:t>of overlap between the bin and the total width of genomic annotation regions overlapping it (</w:t>
      </w:r>
      <w:r>
        <w:rPr>
          <w:i/>
        </w:rPr>
        <w:t>Overlap Percent (OP)</w:t>
      </w:r>
      <w:r>
        <w:t>), or the distance in bases from the center of the bin to the center of the nearest genomic annotation region (</w:t>
      </w:r>
      <w:r>
        <w:rPr>
          <w:i/>
        </w:rPr>
        <w:t>Distance</w:t>
      </w:r>
      <w:r>
        <w:t>) (Figure 1B). A (</w:t>
      </w: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+1</m:t>
        </m:r>
      </m:oMath>
      <w:r>
        <w:t xml:space="preserve">)-transformation of distance was used to account for the skewness of the distance distributions. Models built using a </w:t>
      </w:r>
      <w:r>
        <w:rPr>
          <w:i/>
        </w:rPr>
        <w:t>Peak Signal Strength</w:t>
      </w:r>
      <w:r>
        <w:t xml:space="preserve"> predictor space were only composed of histone modifications and transcription factor binding sites because BroadHM</w:t>
      </w:r>
      <w:r>
        <w:t>M chromatin states lack signal values (Additional file: Figure S1).</w:t>
      </w:r>
    </w:p>
    <w:p w14:paraId="0DE5A9A3" w14:textId="77777777" w:rsidR="00275611" w:rsidRDefault="00935B27">
      <w:pPr>
        <w:pStyle w:val="Heading2"/>
      </w:pPr>
      <w:bookmarkStart w:id="18" w:name="addressing-class-imbalance"/>
      <w:r>
        <w:t>Addressing class imbalance</w:t>
      </w:r>
      <w:bookmarkEnd w:id="18"/>
    </w:p>
    <w:p w14:paraId="3EA98085" w14:textId="77777777" w:rsidR="00275611" w:rsidRDefault="00935B27">
      <w:pPr>
        <w:pStyle w:val="FirstParagraph"/>
      </w:pPr>
      <w:r>
        <w:t xml:space="preserve">To assess the impact of class imbalance (CI), defined as the proportion of boundary regions to non-boundary regions, we evaluated three resampling techniques: </w:t>
      </w:r>
      <w:r>
        <w:rPr>
          <w:i/>
        </w:rPr>
        <w:t>Ra</w:t>
      </w:r>
      <w:r>
        <w:rPr>
          <w:i/>
        </w:rPr>
        <w:t>ndom Over-Sampling (ROS)</w:t>
      </w:r>
      <w:r>
        <w:t xml:space="preserve">, </w:t>
      </w:r>
      <w:r>
        <w:rPr>
          <w:i/>
        </w:rPr>
        <w:t>Random Under-Sampling (RUS)</w:t>
      </w:r>
      <w:r>
        <w:t xml:space="preserve">, and </w:t>
      </w:r>
      <w:r>
        <w:rPr>
          <w:i/>
        </w:rPr>
        <w:t>Synthetic Minority Over-Sampling Technique (SMOTE)</w:t>
      </w:r>
      <w:r>
        <w:t>. For ROS, the minority class was sampled with replacement to obtain the same number of data points in the majority class. For RUS, the majority cl</w:t>
      </w:r>
      <w:r>
        <w:t>ass was sampled without replacement to obtain the same number of data points in the minority class. For SMOTE, under-sampling was performed without replacement from the majority class, while over-sampling was performed by creating new synthetic observation</w:t>
      </w:r>
      <w:r>
        <w:t xml:space="preserve">s using the </w:t>
      </w:r>
      <m:oMath>
        <m:r>
          <w:rPr>
            <w:rFonts w:ascii="Cambria Math" w:hAnsi="Cambria Math"/>
          </w:rPr>
          <m:t>k</m:t>
        </m:r>
        <m:r>
          <w:rPr>
            <w:rFonts w:ascii="Cambria Math" w:hAnsi="Cambria Math"/>
          </w:rPr>
          <m:t>=5</m:t>
        </m:r>
      </m:oMath>
      <w:r>
        <w:t xml:space="preserve"> minority class nearest neighbors [32] (implemented in the </w:t>
      </w:r>
      <w:r>
        <w:rPr>
          <w:rStyle w:val="VerbatimChar"/>
        </w:rPr>
        <w:t>DMwR</w:t>
      </w:r>
      <w:r>
        <w:t xml:space="preserve"> v.0.4.1 R package). We restricted the SMOTE algorithm to 100% over-sampling and 200% under-sampling, to create perfectly balanced classes.</w:t>
      </w:r>
    </w:p>
    <w:p w14:paraId="07B451E6" w14:textId="77777777" w:rsidR="00275611" w:rsidRDefault="00935B27">
      <w:pPr>
        <w:pStyle w:val="Heading2"/>
      </w:pPr>
      <w:bookmarkStart w:id="19" w:name="Xd3f9df5c84275688d41a6575e3ad9fbc36fc715"/>
      <w:r>
        <w:t>Establishing optimal data level chara</w:t>
      </w:r>
      <w:r>
        <w:t>cteristics for TAD boundary region prediction</w:t>
      </w:r>
      <w:bookmarkEnd w:id="19"/>
    </w:p>
    <w:p w14:paraId="2BB6A764" w14:textId="77777777" w:rsidR="00275611" w:rsidRDefault="00935B27">
      <w:pPr>
        <w:pStyle w:val="FirstParagraph"/>
      </w:pPr>
      <w:r>
        <w:t xml:space="preserve">Random forest (RF) classification models (the </w:t>
      </w:r>
      <w:r>
        <w:rPr>
          <w:rStyle w:val="VerbatimChar"/>
        </w:rPr>
        <w:t>caret</w:t>
      </w:r>
      <w:r>
        <w:t xml:space="preserve"> v.6.0 R package [50]) were built to compare model performances between combinations of data resolutions, feature engineering procedures, and resampling techni</w:t>
      </w:r>
      <w:r>
        <w:t xml:space="preserve">ques. Following recommendations to evaluate the model on unseen data [51], a </w:t>
      </w:r>
      <w:r>
        <w:rPr>
          <w:i/>
        </w:rPr>
        <w:t>holdout chromosome</w:t>
      </w:r>
      <w:r>
        <w:t xml:space="preserve"> technique was used for estimating model’s </w:t>
      </w:r>
      <w:r>
        <w:lastRenderedPageBreak/>
        <w:t xml:space="preserve">performance. The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 xml:space="preserve"> holdout chromosome was identified and a data matrix, </w:t>
      </w:r>
      <m:oMath>
        <m:sSub>
          <m:sSubPr>
            <m:ctrlPr>
              <w:rPr>
                <w:rFonts w:ascii="Cambria Math" w:hAnsi="Cambria Math"/>
              </w:rPr>
            </m:ctrlPr>
          </m:sSubPr>
          <m:e>
            <m:r>
              <w:rPr>
                <w:rFonts w:ascii="Cambria Math" w:hAnsi="Cambria Math"/>
              </w:rPr>
              <m:t>A</m:t>
            </m:r>
          </m:e>
          <m:sub>
            <m:r>
              <w:rPr>
                <w:rFonts w:ascii="Cambria Math" w:hAnsi="Cambria Math"/>
              </w:rPr>
              <m:t>N</m:t>
            </m:r>
            <m:r>
              <w:rPr>
                <w:rFonts w:ascii="Cambria Math" w:hAnsi="Cambria Math"/>
              </w:rPr>
              <m:t>×(</m:t>
            </m:r>
            <m:r>
              <w:rPr>
                <w:rFonts w:ascii="Cambria Math" w:hAnsi="Cambria Math"/>
              </w:rPr>
              <m:t>p</m:t>
            </m:r>
            <m:r>
              <w:rPr>
                <w:rFonts w:ascii="Cambria Math" w:hAnsi="Cambria Math"/>
              </w:rPr>
              <m:t>+1)</m:t>
            </m:r>
          </m:sub>
        </m:sSub>
      </m:oMath>
      <w:r>
        <w:t xml:space="preserve">, was constructed by combining </w:t>
      </w:r>
      <w:r>
        <w:t>the binned genome from the remaining chromosomes (</w:t>
      </w:r>
      <m:oMath>
        <m:r>
          <w:rPr>
            <w:rFonts w:ascii="Cambria Math" w:hAnsi="Cambria Math"/>
          </w:rPr>
          <m:t>1,2,⋯,</m:t>
        </m:r>
        <m:r>
          <w:rPr>
            <w:rFonts w:ascii="Cambria Math" w:hAnsi="Cambria Math"/>
          </w:rPr>
          <m:t>i</m:t>
        </m:r>
        <m:r>
          <w:rPr>
            <w:rFonts w:ascii="Cambria Math" w:hAnsi="Cambria Math"/>
          </w:rPr>
          <m:t>-</m:t>
        </m:r>
        <m:r>
          <w:rPr>
            <w:rFonts w:ascii="Cambria Math" w:hAnsi="Cambria Math"/>
          </w:rPr>
          <m:t>1,</m:t>
        </m:r>
        <m:r>
          <w:rPr>
            <w:rFonts w:ascii="Cambria Math" w:hAnsi="Cambria Math"/>
          </w:rPr>
          <m:t>i</m:t>
        </m:r>
        <m:r>
          <w:rPr>
            <w:rFonts w:ascii="Cambria Math" w:hAnsi="Cambria Math"/>
          </w:rPr>
          <m:t>+1,⋯,21,22</m:t>
        </m:r>
      </m:oMath>
      <w:r>
        <w:t xml:space="preserve">), where </w:t>
      </w:r>
      <m:oMath>
        <m:r>
          <w:rPr>
            <w:rFonts w:ascii="Cambria Math" w:hAnsi="Cambria Math"/>
          </w:rPr>
          <m:t>N</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21</m:t>
            </m:r>
          </m:sub>
        </m:sSub>
        <m:sSub>
          <m:sSubPr>
            <m:ctrlPr>
              <w:rPr>
                <w:rFonts w:ascii="Cambria Math" w:hAnsi="Cambria Math"/>
              </w:rPr>
            </m:ctrlPr>
          </m:sSubPr>
          <m:e>
            <m:r>
              <w:rPr>
                <w:rFonts w:ascii="Cambria Math" w:hAnsi="Cambria Math"/>
              </w:rPr>
              <m:t>n</m:t>
            </m:r>
          </m:e>
          <m:sub>
            <m:r>
              <w:rPr>
                <w:rFonts w:ascii="Cambria Math" w:hAnsi="Cambria Math"/>
              </w:rPr>
              <m:t>22</m:t>
            </m:r>
          </m:sub>
        </m:sSub>
        <m:r>
          <w:rPr>
            <w:rFonts w:ascii="Cambria Math" w:hAnsi="Cambria Math"/>
          </w:rPr>
          <m:t>]'</m:t>
        </m:r>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k</m:t>
            </m:r>
          </m:sub>
        </m:sSub>
      </m:oMath>
      <w:r>
        <w:t xml:space="preserve"> is the length of chromosome </w:t>
      </w:r>
      <w:r>
        <w:rPr>
          <w:i/>
        </w:rPr>
        <w:t>k</w:t>
      </w:r>
      <w:r>
        <w:t xml:space="preserve"> after being binned into non-overlapping regions of resolution </w:t>
      </w:r>
      <w:r>
        <w:rPr>
          <w:i/>
        </w:rPr>
        <w:t>r</w:t>
      </w:r>
      <w:r>
        <w:t xml:space="preserve">, such that </w:t>
      </w:r>
      <m:oMath>
        <m:r>
          <w:rPr>
            <w:rFonts w:ascii="Cambria Math" w:hAnsi="Cambria Math"/>
          </w:rPr>
          <m:t>k</m:t>
        </m:r>
        <m:r>
          <w:rPr>
            <w:rFonts w:ascii="Cambria Math" w:hAnsi="Cambria Math"/>
          </w:rPr>
          <m:t>≠</m:t>
        </m:r>
        <m:r>
          <w:rPr>
            <w:rFonts w:ascii="Cambria Math" w:hAnsi="Cambria Math"/>
          </w:rPr>
          <m:t>i</m:t>
        </m:r>
      </m:oMath>
      <w:r>
        <w:t xml:space="preserve">. </w:t>
      </w:r>
      <m:oMath>
        <m:r>
          <w:rPr>
            <w:rFonts w:ascii="Cambria Math" w:hAnsi="Cambria Math"/>
          </w:rPr>
          <m:t>p</m:t>
        </m:r>
      </m:oMath>
      <w:r>
        <w:t xml:space="preserve">, the number of annotations, </w:t>
      </w:r>
      <w:r>
        <w:t xml:space="preserve">together with the response vector, </w:t>
      </w:r>
      <w:r>
        <w:rPr>
          <w:b/>
        </w:rPr>
        <w:t>Y</w:t>
      </w:r>
      <w:r>
        <w:t xml:space="preserve">, defined the column-wise dimension of the matrix </w:t>
      </w:r>
      <m:oMath>
        <m:r>
          <w:rPr>
            <w:rFonts w:ascii="Cambria Math" w:hAnsi="Cambria Math"/>
          </w:rPr>
          <m:t>A</m:t>
        </m:r>
      </m:oMath>
      <w:r>
        <w:t xml:space="preserve">. Re-sampling was then performed on </w:t>
      </w:r>
      <m:oMath>
        <m:r>
          <w:rPr>
            <w:rFonts w:ascii="Cambria Math" w:hAnsi="Cambria Math"/>
          </w:rPr>
          <m:t>A</m:t>
        </m:r>
      </m:oMath>
      <w:r>
        <w:t>, and an RF classifier was trained using 3-fold cross-validation to tune for the number of annotations to consider at each node (</w:t>
      </w:r>
      <w:r>
        <w:rPr>
          <w:i/>
        </w:rPr>
        <w:t>m</w:t>
      </w:r>
      <w:r>
        <w:rPr>
          <w:i/>
        </w:rPr>
        <w:t>try</w:t>
      </w:r>
      <w:r>
        <w:t>). The number of trees (</w:t>
      </w:r>
      <w:r>
        <w:rPr>
          <w:i/>
        </w:rPr>
        <w:t>ntree</w:t>
      </w:r>
      <w:r>
        <w:t>) that were aggregated for each RF model was set to 500. The minimum number of observations per root node (</w:t>
      </w:r>
      <w:r>
        <w:rPr>
          <w:i/>
        </w:rPr>
        <w:t>nodesize</w:t>
      </w:r>
      <w:r>
        <w:t xml:space="preserve">) was set to 0.1% of the rows in the data. The binned data for the holdout chromosome </w:t>
      </w:r>
      <m:oMath>
        <m:r>
          <w:rPr>
            <w:rFonts w:ascii="Cambria Math" w:hAnsi="Cambria Math"/>
          </w:rPr>
          <m:t>i</m:t>
        </m:r>
      </m:oMath>
      <w:r>
        <w:t xml:space="preserve"> was reserved for tes</w:t>
      </w:r>
      <w:r>
        <w:t>ting. Models were evaluated using Balanced Accuracy (BA), defined as the average of sensitivity and specificity:</w:t>
      </w:r>
    </w:p>
    <w:p w14:paraId="19408212" w14:textId="77777777" w:rsidR="00275611" w:rsidRDefault="00935B27">
      <w:pPr>
        <w:pStyle w:val="BodyText"/>
      </w:pPr>
      <m:oMathPara>
        <m:oMathParaPr>
          <m:jc m:val="center"/>
        </m:oMathParaPr>
        <m:oMath>
          <m:r>
            <w:rPr>
              <w:rFonts w:ascii="Cambria Math" w:hAnsi="Cambria Math"/>
            </w:rPr>
            <m:t>BA</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r>
                <w:rPr>
                  <w:rFonts w:ascii="Cambria Math" w:hAnsi="Cambria Math"/>
                </w:rPr>
                <m:t>sensitivity</m:t>
              </m:r>
              <m:r>
                <w:rPr>
                  <w:rFonts w:ascii="Cambria Math" w:hAnsi="Cambria Math"/>
                </w:rPr>
                <m:t>+</m:t>
              </m:r>
              <m:r>
                <w:rPr>
                  <w:rFonts w:ascii="Cambria Math" w:hAnsi="Cambria Math"/>
                </w:rPr>
                <m:t>specificity</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f>
                <m:fPr>
                  <m:ctrlPr>
                    <w:rPr>
                      <w:rFonts w:ascii="Cambria Math" w:hAnsi="Cambria Math"/>
                    </w:rPr>
                  </m:ctrlPr>
                </m:fPr>
                <m:num>
                  <m:r>
                    <w:rPr>
                      <w:rFonts w:ascii="Cambria Math" w:hAnsi="Cambria Math"/>
                    </w:rPr>
                    <m:t>TP</m:t>
                  </m:r>
                </m:num>
                <m:den>
                  <m:r>
                    <w:rPr>
                      <w:rFonts w:ascii="Cambria Math" w:hAnsi="Cambria Math"/>
                    </w:rPr>
                    <m:t>TP</m:t>
                  </m:r>
                  <m:r>
                    <w:rPr>
                      <w:rFonts w:ascii="Cambria Math" w:hAnsi="Cambria Math"/>
                    </w:rPr>
                    <m:t>+</m:t>
                  </m:r>
                  <m:r>
                    <w:rPr>
                      <w:rFonts w:ascii="Cambria Math" w:hAnsi="Cambria Math"/>
                    </w:rPr>
                    <m:t>FN</m:t>
                  </m:r>
                </m:den>
              </m:f>
              <m:r>
                <w:rPr>
                  <w:rFonts w:ascii="Cambria Math" w:hAnsi="Cambria Math"/>
                </w:rPr>
                <m:t>+</m:t>
              </m:r>
              <m:f>
                <m:fPr>
                  <m:ctrlPr>
                    <w:rPr>
                      <w:rFonts w:ascii="Cambria Math" w:hAnsi="Cambria Math"/>
                    </w:rPr>
                  </m:ctrlPr>
                </m:fPr>
                <m:num>
                  <m:r>
                    <w:rPr>
                      <w:rFonts w:ascii="Cambria Math" w:hAnsi="Cambria Math"/>
                    </w:rPr>
                    <m:t>TN</m:t>
                  </m:r>
                </m:num>
                <m:den>
                  <m:r>
                    <w:rPr>
                      <w:rFonts w:ascii="Cambria Math" w:hAnsi="Cambria Math"/>
                    </w:rPr>
                    <m:t>TN</m:t>
                  </m:r>
                  <m:r>
                    <w:rPr>
                      <w:rFonts w:ascii="Cambria Math" w:hAnsi="Cambria Math"/>
                    </w:rPr>
                    <m:t>+</m:t>
                  </m:r>
                  <m:r>
                    <w:rPr>
                      <w:rFonts w:ascii="Cambria Math" w:hAnsi="Cambria Math"/>
                    </w:rPr>
                    <m:t>FP</m:t>
                  </m:r>
                </m:den>
              </m:f>
            </m:e>
          </m:d>
        </m:oMath>
      </m:oMathPara>
    </w:p>
    <w:p w14:paraId="5ACA9EBD" w14:textId="77777777" w:rsidR="00275611" w:rsidRDefault="00935B27">
      <w:pPr>
        <w:pStyle w:val="FirstParagraph"/>
      </w:pPr>
      <w:r>
        <w:t>where TP refers to the number of bins correctly identified as containing a boundary (true positives), FP refers to the number of bins incorrectly identified as containing a boundary (false positives), TN refers to the number of bins correctly identified as</w:t>
      </w:r>
      <w:r>
        <w:t xml:space="preserve"> not containing a boundary (true negatives), and FN refers to the number of bins incorrectly identified as not containing a boundary (false negatives). Each of these quantities is obtained from the confusion matrix created by validating the model on the te</w:t>
      </w:r>
      <w:r>
        <w:t xml:space="preserve">st data. The process was repeated for each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 xml:space="preserve"> holdout chromosome, and performances were aggregated using mean and standard deviation.</w:t>
      </w:r>
    </w:p>
    <w:p w14:paraId="2A38AD53" w14:textId="77777777" w:rsidR="00275611" w:rsidRDefault="00935B27">
      <w:pPr>
        <w:pStyle w:val="Heading2"/>
      </w:pPr>
      <w:bookmarkStart w:id="20" w:name="X06c502528306e675e0e21388afa938974a9fc95"/>
      <w:r>
        <w:t>Feature selection and predictive importance</w:t>
      </w:r>
      <w:bookmarkEnd w:id="20"/>
    </w:p>
    <w:p w14:paraId="5B5E1BDF" w14:textId="77777777" w:rsidR="00275611" w:rsidRDefault="00935B27">
      <w:pPr>
        <w:pStyle w:val="FirstParagraph"/>
      </w:pPr>
      <w:r>
        <w:t>Many genomic annotations, notably architectural proteins, tend to exhibit an extensive pattern of colocalization (correlation) [52]. To suitably reduce the predictor space and improve computational efficiency, while maintaining optimal performance, we impl</w:t>
      </w:r>
      <w:r>
        <w:t xml:space="preserve">emented recursive </w:t>
      </w:r>
      <w:r>
        <w:lastRenderedPageBreak/>
        <w:t>feature elimination (RFE). We estimated the near-optimal number of necessary features, ranging from 2 to the maximum number of features incremented by the power of 2. We then aggregated the predictive importance of the union of the optima</w:t>
      </w:r>
      <w:r>
        <w:t>l set of features across holdout chromosomes using the mean decrease in node impurity among permuted features in out-of-bag samples to determine the most common and top-ranked annotations for predicting boundary regions.</w:t>
      </w:r>
    </w:p>
    <w:p w14:paraId="4460283B" w14:textId="77777777" w:rsidR="00275611" w:rsidRDefault="00935B27">
      <w:pPr>
        <w:pStyle w:val="Heading2"/>
      </w:pPr>
      <w:bookmarkStart w:id="21" w:name="evaluating-performance-across-cell-lines"/>
      <w:r>
        <w:t xml:space="preserve">Evaluating performance across cell </w:t>
      </w:r>
      <w:r>
        <w:t>lines</w:t>
      </w:r>
      <w:bookmarkEnd w:id="21"/>
    </w:p>
    <w:p w14:paraId="37F440B1" w14:textId="77777777" w:rsidR="00275611" w:rsidRDefault="00935B27">
      <w:pPr>
        <w:pStyle w:val="FirstParagraph"/>
      </w:pPr>
      <w:r>
        <w:t>We used the same holdout chromosome strategy to evaluate a model trained in one cell line on unseen data from another cell line [51]. Given two cell lines, GM12878 and K562, we first evaluated the performance of cell line-specific models. That is, mo</w:t>
      </w:r>
      <w:r>
        <w:t xml:space="preserve">dels trained on cell line-specific data from </w:t>
      </w:r>
      <m:oMath>
        <m:r>
          <w:rPr>
            <w:rFonts w:ascii="Cambria Math" w:hAnsi="Cambria Math"/>
          </w:rPr>
          <m:t>n</m:t>
        </m:r>
        <m:r>
          <w:rPr>
            <w:rFonts w:ascii="Cambria Math" w:hAnsi="Cambria Math"/>
          </w:rPr>
          <m:t>-</m:t>
        </m:r>
        <m:r>
          <w:rPr>
            <w:rFonts w:ascii="Cambria Math" w:hAnsi="Cambria Math"/>
          </w:rPr>
          <m:t>1</m:t>
        </m:r>
      </m:oMath>
      <w:r>
        <w:t xml:space="preserve"> chromosomes were evaluated on the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 xml:space="preserve"> holdout chromosome data from the same cell line. Second, we evaluated models trained on cell line-specific data from </w:t>
      </w:r>
      <m:oMath>
        <m:r>
          <w:rPr>
            <w:rFonts w:ascii="Cambria Math" w:hAnsi="Cambria Math"/>
          </w:rPr>
          <m:t>n</m:t>
        </m:r>
        <m:r>
          <w:rPr>
            <w:rFonts w:ascii="Cambria Math" w:hAnsi="Cambria Math"/>
          </w:rPr>
          <m:t>-</m:t>
        </m:r>
        <m:r>
          <w:rPr>
            <w:rFonts w:ascii="Cambria Math" w:hAnsi="Cambria Math"/>
          </w:rPr>
          <m:t>1</m:t>
        </m:r>
      </m:oMath>
      <w:r>
        <w:t xml:space="preserve"> chromosomes using the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 xml:space="preserve"> holdout chromoso</w:t>
      </w:r>
      <w:r>
        <w:t>me data from a different cell line. That is, models trained using K562 cell line-specific data were evaluated on unseen chromosome data from GM12878 cell line. This process was repeated for each holdout chromosome. To evaluate performance, we constructed r</w:t>
      </w:r>
      <w:r>
        <w:t>eceiver operating characteristic (ROC) curves composed of the average sensitivities and specificities at different cutoffs, across each holdout chromosome, and reported the corresponding average area under the curve (AUC).</w:t>
      </w:r>
    </w:p>
    <w:p w14:paraId="3062974D" w14:textId="77777777" w:rsidR="00275611" w:rsidRDefault="00935B27">
      <w:pPr>
        <w:pStyle w:val="Heading2"/>
      </w:pPr>
      <w:bookmarkStart w:id="22" w:name="X90e8cbb0e9b6f484764943ed7361d8ee56a79d2"/>
      <w:r>
        <w:t>Boundary prediction at the base-l</w:t>
      </w:r>
      <w:r>
        <w:t xml:space="preserve">evel resolution using </w:t>
      </w:r>
      <w:r>
        <w:rPr>
          <w:i/>
        </w:rPr>
        <w:t>preciseTAD</w:t>
      </w:r>
      <w:bookmarkEnd w:id="22"/>
    </w:p>
    <w:p w14:paraId="51532602" w14:textId="77777777" w:rsidR="00275611" w:rsidRDefault="00935B27">
      <w:pPr>
        <w:pStyle w:val="FirstParagraph"/>
      </w:pPr>
      <w:r>
        <w:t xml:space="preserve">To investigate whether we could alleviate the resolution limitations of conventional domain calling tools, we developed </w:t>
      </w:r>
      <w:r>
        <w:rPr>
          <w:i/>
        </w:rPr>
        <w:t>preciseTAD</w:t>
      </w:r>
      <w:r>
        <w:t>. This algorithm leverages a random forest model in conjunction with density-based and partit</w:t>
      </w:r>
      <w:r>
        <w:t>ioning techniques to predict boundaries at base resolution (Additional file: Figure S4).</w:t>
      </w:r>
    </w:p>
    <w:p w14:paraId="7DE60E0A" w14:textId="77777777" w:rsidR="00275611" w:rsidRDefault="00935B27">
      <w:pPr>
        <w:pStyle w:val="BodyText"/>
      </w:pPr>
      <w:r>
        <w:lastRenderedPageBreak/>
        <w:t xml:space="preserve">A random forest model </w:t>
      </w:r>
      <m:oMath>
        <m:r>
          <w:rPr>
            <w:rFonts w:ascii="Cambria Math" w:hAnsi="Cambria Math"/>
          </w:rPr>
          <m:t>(</m:t>
        </m:r>
        <m:r>
          <w:rPr>
            <w:rFonts w:ascii="Cambria Math" w:hAnsi="Cambria Math"/>
          </w:rPr>
          <m:t>M</m:t>
        </m:r>
        <m:r>
          <w:rPr>
            <w:rFonts w:ascii="Cambria Math" w:hAnsi="Cambria Math"/>
          </w:rPr>
          <m:t>)</m:t>
        </m:r>
      </m:oMath>
      <w:r>
        <w:t xml:space="preserve"> was built on the optimal combination of predictor type (predictor space), resampling technique (class balancing correction), and top-ranked </w:t>
      </w:r>
      <w:r>
        <w:t xml:space="preserve">annotations (most informative genomic elements) for a set of binned chromosomes </w:t>
      </w:r>
      <m:oMath>
        <m:r>
          <w:rPr>
            <w:rFonts w:ascii="Cambria Math" w:hAnsi="Cambria Math"/>
          </w:rPr>
          <m:t>{</m:t>
        </m:r>
        <m:r>
          <w:rPr>
            <w:rFonts w:ascii="Cambria Math" w:hAnsi="Cambria Math"/>
          </w:rPr>
          <m:t>k</m:t>
        </m:r>
        <m:r>
          <w:rPr>
            <w:rFonts w:ascii="Cambria Math" w:hAnsi="Cambria Math"/>
          </w:rPr>
          <m:t>|</m:t>
        </m:r>
        <m:r>
          <w:rPr>
            <w:rFonts w:ascii="Cambria Math" w:hAnsi="Cambria Math"/>
          </w:rPr>
          <m:t>k</m:t>
        </m:r>
        <m:r>
          <w:rPr>
            <w:rFonts w:ascii="Cambria Math" w:hAnsi="Cambria Math"/>
          </w:rPr>
          <m:t>≠</m:t>
        </m:r>
        <m:r>
          <w:rPr>
            <w:rFonts w:ascii="Cambria Math" w:hAnsi="Cambria Math"/>
          </w:rPr>
          <m:t>i</m:t>
        </m:r>
        <m:r>
          <w:rPr>
            <w:rFonts w:ascii="Cambria Math" w:hAnsi="Cambria Math"/>
          </w:rPr>
          <m:t>}</m:t>
        </m:r>
      </m:oMath>
      <w:r>
        <w:t xml:space="preserve"> . To precisely identify boundary locations, we first constructed a </w:t>
      </w:r>
      <w:r>
        <w:rPr>
          <w:i/>
        </w:rPr>
        <w:t>base-level resolution</w:t>
      </w:r>
      <w:r>
        <w:t xml:space="preserve"> predictor space for the chromosome </w:t>
      </w:r>
      <w:r>
        <w:rPr>
          <w:i/>
        </w:rPr>
        <w:t>i</w:t>
      </w:r>
      <w:r>
        <w:t xml:space="preserve">, </w:t>
      </w:r>
      <m:oMath>
        <m:sSub>
          <m:sSubPr>
            <m:ctrlPr>
              <w:rPr>
                <w:rFonts w:ascii="Cambria Math" w:hAnsi="Cambria Math"/>
              </w:rPr>
            </m:ctrlPr>
          </m:sSubPr>
          <m:e>
            <m:r>
              <w:rPr>
                <w:rFonts w:ascii="Cambria Math" w:hAnsi="Cambria Math"/>
              </w:rPr>
              <m:t>A</m:t>
            </m:r>
          </m:e>
          <m:sub>
            <m:r>
              <w:rPr>
                <w:rFonts w:ascii="Cambria Math" w:hAnsi="Cambria Math"/>
              </w:rPr>
              <m:t>n</m:t>
            </m:r>
            <m:r>
              <w:rPr>
                <w:rFonts w:ascii="Cambria Math" w:hAnsi="Cambria Math"/>
              </w:rPr>
              <m:t>×</m:t>
            </m:r>
            <m:r>
              <w:rPr>
                <w:rFonts w:ascii="Cambria Math" w:hAnsi="Cambria Math"/>
              </w:rPr>
              <m:t>p</m:t>
            </m:r>
          </m:sub>
        </m:sSub>
      </m:oMath>
      <w:r>
        <w:t xml:space="preserve">, where </w:t>
      </w:r>
      <m:oMath>
        <m:r>
          <w:rPr>
            <w:rFonts w:ascii="Cambria Math" w:hAnsi="Cambria Math"/>
          </w:rPr>
          <m:t>n</m:t>
        </m:r>
      </m:oMath>
      <w:r>
        <w:t xml:space="preserve"> is the length of chr</w:t>
      </w:r>
      <w:r>
        <w:t xml:space="preserve">omosome </w:t>
      </w:r>
      <m:oMath>
        <m:r>
          <w:rPr>
            <w:rFonts w:ascii="Cambria Math" w:hAnsi="Cambria Math"/>
          </w:rPr>
          <m:t>i</m:t>
        </m:r>
      </m:oMath>
      <w:r>
        <w:t xml:space="preserve"> and </w:t>
      </w:r>
      <m:oMath>
        <m:r>
          <w:rPr>
            <w:rFonts w:ascii="Cambria Math" w:hAnsi="Cambria Math"/>
          </w:rPr>
          <m:t>p</m:t>
        </m:r>
      </m:oMath>
      <w:r>
        <w:t xml:space="preserve"> is the optimal number of annotations. We then evaluate </w:t>
      </w:r>
      <m:oMath>
        <m:r>
          <w:rPr>
            <w:rFonts w:ascii="Cambria Math" w:hAnsi="Cambria Math"/>
          </w:rPr>
          <m:t>M</m:t>
        </m:r>
      </m:oMath>
      <w:r>
        <w:t xml:space="preserve"> on the base-level predictor space to extract the probability vector, </w:t>
      </w:r>
      <m:oMath>
        <m:sSub>
          <m:sSubPr>
            <m:ctrlPr>
              <w:rPr>
                <w:rFonts w:ascii="Cambria Math" w:hAnsi="Cambria Math"/>
              </w:rPr>
            </m:ctrlPr>
          </m:sSubPr>
          <m:e>
            <m:r>
              <w:rPr>
                <w:rFonts w:ascii="Cambria Math" w:hAnsi="Cambria Math"/>
              </w:rPr>
              <m:t>π</m:t>
            </m:r>
          </m:e>
          <m:sub>
            <m:sSub>
              <m:sSubPr>
                <m:ctrlPr>
                  <w:rPr>
                    <w:rFonts w:ascii="Cambria Math" w:hAnsi="Cambria Math"/>
                  </w:rPr>
                </m:ctrlPr>
              </m:sSubPr>
              <m:e>
                <m:r>
                  <w:rPr>
                    <w:rFonts w:ascii="Cambria Math" w:hAnsi="Cambria Math"/>
                  </w:rPr>
                  <m:t>n</m:t>
                </m:r>
              </m:e>
              <m:sub>
                <m:r>
                  <w:rPr>
                    <w:rFonts w:ascii="Cambria Math" w:hAnsi="Cambria Math"/>
                  </w:rPr>
                  <m:t>i</m:t>
                </m:r>
              </m:sub>
            </m:sSub>
          </m:sub>
        </m:sSub>
      </m:oMath>
      <w:r>
        <w:t xml:space="preserve">, denoting each base’s probability of being a boundary. Here,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represents the length of chromosome </w:t>
      </w:r>
      <w:r>
        <w:rPr>
          <w:i/>
        </w:rPr>
        <w:t>i</w:t>
      </w:r>
      <w:r>
        <w:t>.</w:t>
      </w:r>
      <w:r>
        <w:t xml:space="preserve"> A threshold </w:t>
      </w:r>
      <m:oMath>
        <m:r>
          <w:rPr>
            <w:rFonts w:ascii="Cambria Math" w:hAnsi="Cambria Math"/>
          </w:rPr>
          <m:t>t</m:t>
        </m:r>
      </m:oMath>
      <w:r>
        <w:t xml:space="preserve"> specifies the probability at which a base with </w:t>
      </w:r>
      <m:oMath>
        <m:sSub>
          <m:sSubPr>
            <m:ctrlPr>
              <w:rPr>
                <w:rFonts w:ascii="Cambria Math" w:hAnsi="Cambria Math"/>
              </w:rPr>
            </m:ctrlPr>
          </m:sSubPr>
          <m:e>
            <m:r>
              <w:rPr>
                <w:rFonts w:ascii="Cambria Math" w:hAnsi="Cambria Math"/>
              </w:rPr>
              <m:t>π</m:t>
            </m:r>
          </m:e>
          <m:sub>
            <m:sSub>
              <m:sSubPr>
                <m:ctrlPr>
                  <w:rPr>
                    <w:rFonts w:ascii="Cambria Math" w:hAnsi="Cambria Math"/>
                  </w:rPr>
                </m:ctrlPr>
              </m:sSubPr>
              <m:e>
                <m:r>
                  <w:rPr>
                    <w:rFonts w:ascii="Cambria Math" w:hAnsi="Cambria Math"/>
                  </w:rPr>
                  <m:t>n</m:t>
                </m:r>
              </m:e>
              <m:sub>
                <m:r>
                  <w:rPr>
                    <w:rFonts w:ascii="Cambria Math" w:hAnsi="Cambria Math"/>
                  </w:rPr>
                  <m:t>i</m:t>
                </m:r>
              </m:sub>
            </m:sSub>
          </m:sub>
        </m:sSub>
        <m:r>
          <w:rPr>
            <w:rFonts w:ascii="Cambria Math" w:hAnsi="Cambria Math"/>
          </w:rPr>
          <m:t>≥</m:t>
        </m:r>
        <m:r>
          <w:rPr>
            <w:rFonts w:ascii="Cambria Math" w:hAnsi="Cambria Math"/>
          </w:rPr>
          <m:t>t</m:t>
        </m:r>
      </m:oMath>
      <w:r>
        <w:t xml:space="preserve"> is designated as a potential boundary (the default </w:t>
      </w:r>
      <m:oMath>
        <m:r>
          <w:rPr>
            <w:rFonts w:ascii="Cambria Math" w:hAnsi="Cambria Math"/>
          </w:rPr>
          <m:t>t</m:t>
        </m:r>
        <m:r>
          <w:rPr>
            <w:rFonts w:ascii="Cambria Math" w:hAnsi="Cambria Math"/>
          </w:rPr>
          <m:t>=1</m:t>
        </m:r>
      </m:oMath>
      <w:r>
        <w:t>). Next, density-based spatial clustering of applications with noise (DBSCAN; version 1.1-5) is applied to the matrix of pairwis</w:t>
      </w:r>
      <w:r>
        <w:t xml:space="preserve">e genomic distances between boundary-annotated bases, </w:t>
      </w:r>
      <m:oMath>
        <m:r>
          <w:rPr>
            <w:rFonts w:ascii="Cambria Math" w:hAnsi="Cambria Math"/>
          </w:rPr>
          <m:t>D</m:t>
        </m:r>
      </m:oMath>
      <w:r>
        <w:t xml:space="preserve">. The minimum and maximum coordinates of each cluster, </w:t>
      </w:r>
      <m:oMath>
        <m:r>
          <w:rPr>
            <w:rFonts w:ascii="Cambria Math" w:hAnsi="Cambria Math"/>
          </w:rPr>
          <m:t>k</m:t>
        </m:r>
      </m:oMath>
      <w:r>
        <w:t xml:space="preserve">, of spatially colocalized bases were termed </w:t>
      </w:r>
      <w:r>
        <w:rPr>
          <w:i/>
        </w:rPr>
        <w:t>preciseTAD boundary regions</w:t>
      </w:r>
      <w:r>
        <w:t xml:space="preserve"> (PTBR). To precisely identify a single base among each PTBR, </w:t>
      </w:r>
      <w:r>
        <w:rPr>
          <w:i/>
        </w:rPr>
        <w:t>preciseTA</w:t>
      </w:r>
      <w:r>
        <w:rPr>
          <w:i/>
        </w:rPr>
        <w:t>D</w:t>
      </w:r>
      <w:r>
        <w:t xml:space="preserve"> implements partitioning around medoids (PAM) on the distance matrix, </w:t>
      </w:r>
      <m:oMath>
        <m:sSub>
          <m:sSubPr>
            <m:ctrlPr>
              <w:rPr>
                <w:rFonts w:ascii="Cambria Math" w:hAnsi="Cambria Math"/>
              </w:rPr>
            </m:ctrlPr>
          </m:sSubPr>
          <m:e>
            <m:r>
              <w:rPr>
                <w:rFonts w:ascii="Cambria Math" w:hAnsi="Cambria Math"/>
              </w:rPr>
              <m:t>D</m:t>
            </m:r>
          </m:e>
          <m:sub>
            <m:r>
              <w:rPr>
                <w:rFonts w:ascii="Cambria Math" w:hAnsi="Cambria Math"/>
              </w:rPr>
              <m:t>k</m:t>
            </m:r>
          </m:sub>
        </m:sSub>
      </m:oMath>
      <w:r>
        <w:t xml:space="preserve">, derived from each cluster. The corresponding cluster medoid was defined as a </w:t>
      </w:r>
      <w:r>
        <w:rPr>
          <w:i/>
        </w:rPr>
        <w:t>preciseTAD boundary point</w:t>
      </w:r>
      <w:r>
        <w:t xml:space="preserve"> (PTBP), making it the most representative base coordinate within each cluste</w:t>
      </w:r>
      <w:r>
        <w:t>red PTBR.</w:t>
      </w:r>
    </w:p>
    <w:p w14:paraId="7DB58460" w14:textId="77777777" w:rsidR="00275611" w:rsidRDefault="00935B27">
      <w:pPr>
        <w:pStyle w:val="BodyText"/>
      </w:pPr>
      <w:r>
        <w:t xml:space="preserve">The DBSCAN algorithm has two parameters, </w:t>
      </w:r>
      <w:r>
        <w:rPr>
          <w:i/>
        </w:rPr>
        <w:t>MinPts</w:t>
      </w:r>
      <w:r>
        <w:t xml:space="preserve"> and </w:t>
      </w:r>
      <w:r>
        <w:rPr>
          <w:i/>
        </w:rPr>
        <w:t>eps</w:t>
      </w:r>
      <w:r>
        <w:t xml:space="preserve"> (</w:t>
      </w:r>
      <m:oMath>
        <m:r>
          <w:rPr>
            <w:rFonts w:ascii="Cambria Math" w:hAnsi="Cambria Math"/>
          </w:rPr>
          <m:t>ϵ</m:t>
        </m:r>
      </m:oMath>
      <w:r>
        <w:t xml:space="preserve">). The </w:t>
      </w:r>
      <w:r>
        <w:rPr>
          <w:i/>
        </w:rPr>
        <w:t>MinPts</w:t>
      </w:r>
      <w:r>
        <w:t xml:space="preserve"> parameter was set to the recommended value of 3, representing </w:t>
      </w:r>
      <m:oMath>
        <m:r>
          <w:rPr>
            <w:rFonts w:ascii="Cambria Math" w:hAnsi="Cambria Math"/>
          </w:rPr>
          <m:t>1+</m:t>
        </m:r>
        <m:r>
          <w:rPr>
            <w:rFonts w:ascii="Cambria Math" w:hAnsi="Cambria Math"/>
          </w:rPr>
          <m:t>dim</m:t>
        </m:r>
        <m:r>
          <w:rPr>
            <w:rFonts w:ascii="Cambria Math" w:hAnsi="Cambria Math"/>
          </w:rPr>
          <m:t>(</m:t>
        </m:r>
        <m:r>
          <w:rPr>
            <w:rFonts w:ascii="Cambria Math" w:hAnsi="Cambria Math"/>
          </w:rPr>
          <m:t>data</m:t>
        </m:r>
        <m:r>
          <w:rPr>
            <w:rFonts w:ascii="Cambria Math" w:hAnsi="Cambria Math"/>
          </w:rPr>
          <m:t>)</m:t>
        </m:r>
      </m:oMath>
      <w:r>
        <w:t xml:space="preserve"> [53]. To decide on the optimal value of </w:t>
      </w:r>
      <m:oMath>
        <m:r>
          <w:rPr>
            <w:rFonts w:ascii="Cambria Math" w:hAnsi="Cambria Math"/>
          </w:rPr>
          <m:t>t</m:t>
        </m:r>
      </m:oMath>
      <w:r>
        <w:t xml:space="preserve"> and </w:t>
      </w:r>
      <m:oMath>
        <m:r>
          <w:rPr>
            <w:rFonts w:ascii="Cambria Math" w:hAnsi="Cambria Math"/>
          </w:rPr>
          <m:t>ϵ</m:t>
        </m:r>
      </m:oMath>
      <w:r>
        <w:t xml:space="preserve"> in </w:t>
      </w:r>
      <w:r>
        <w:rPr>
          <w:i/>
        </w:rPr>
        <w:t>preciseTAD</w:t>
      </w:r>
      <w:r>
        <w:t>, we considered the normalize</w:t>
      </w:r>
      <w:r>
        <w:t xml:space="preserve">d enrichment </w:t>
      </w:r>
      <m:oMath>
        <m:r>
          <w:rPr>
            <w:rFonts w:ascii="Cambria Math" w:hAnsi="Cambria Math"/>
          </w:rPr>
          <m:t>NE</m:t>
        </m:r>
      </m:oMath>
      <w:r>
        <w:t xml:space="preserve"> of flanked predicted boundaries, defined as</w:t>
      </w:r>
    </w:p>
    <w:p w14:paraId="37A442B3" w14:textId="77777777" w:rsidR="00275611" w:rsidRDefault="00935B27">
      <w:pPr>
        <w:pStyle w:val="BodyText"/>
      </w:pPr>
      <m:oMathPara>
        <m:oMathParaPr>
          <m:jc m:val="center"/>
        </m:oMathParaPr>
        <m:oMath>
          <m:r>
            <w:rPr>
              <w:rFonts w:ascii="Cambria Math" w:hAnsi="Cambria Math"/>
            </w:rPr>
            <m:t>NE</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p</m:t>
              </m:r>
            </m:den>
          </m:f>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s</m:t>
                  </m:r>
                  <m:r>
                    <w:rPr>
                      <w:rFonts w:ascii="Cambria Math" w:hAnsi="Cambria Math"/>
                    </w:rPr>
                    <m:t>=1</m:t>
                  </m:r>
                </m:sub>
                <m:sup>
                  <m:r>
                    <w:rPr>
                      <w:rFonts w:ascii="Cambria Math" w:hAnsi="Cambria Math"/>
                    </w:rPr>
                    <m:t>p</m:t>
                  </m:r>
                </m:sup>
              </m:sSubSup>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b</m:t>
                      </m:r>
                    </m:den>
                  </m:f>
                  <m:sSubSup>
                    <m:sSubSupPr>
                      <m:ctrlPr>
                        <w:rPr>
                          <w:rFonts w:ascii="Cambria Math" w:hAnsi="Cambria Math"/>
                        </w:rPr>
                      </m:ctrlPr>
                    </m:sSubSupPr>
                    <m:e>
                      <m:r>
                        <w:rPr>
                          <w:rFonts w:ascii="Cambria Math" w:hAnsi="Cambria Math"/>
                        </w:rPr>
                        <m:t>Σ</m:t>
                      </m:r>
                    </m:e>
                    <m:sub>
                      <m:r>
                        <w:rPr>
                          <w:rFonts w:ascii="Cambria Math" w:hAnsi="Cambria Math"/>
                        </w:rPr>
                        <m:t>k</m:t>
                      </m:r>
                      <m:r>
                        <w:rPr>
                          <w:rFonts w:ascii="Cambria Math" w:hAnsi="Cambria Math"/>
                        </w:rPr>
                        <m:t>=1</m:t>
                      </m:r>
                    </m:sub>
                    <m:sup>
                      <m:r>
                        <w:rPr>
                          <w:rFonts w:ascii="Cambria Math" w:hAnsi="Cambria Math"/>
                        </w:rPr>
                        <m:t>b</m:t>
                      </m:r>
                    </m:sup>
                  </m:sSubSup>
                  <m:sSub>
                    <m:sSubPr>
                      <m:ctrlPr>
                        <w:rPr>
                          <w:rFonts w:ascii="Cambria Math" w:hAnsi="Cambria Math"/>
                        </w:rPr>
                      </m:ctrlPr>
                    </m:sSubPr>
                    <m:e>
                      <m:r>
                        <w:rPr>
                          <w:rFonts w:ascii="Cambria Math" w:hAnsi="Cambria Math"/>
                        </w:rPr>
                        <m:t>e</m:t>
                      </m:r>
                    </m:e>
                    <m:sub>
                      <m:r>
                        <w:rPr>
                          <w:rFonts w:ascii="Cambria Math" w:hAnsi="Cambria Math"/>
                        </w:rPr>
                        <m:t>ks</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e>
              </m:d>
            </m:e>
          </m:d>
        </m:oMath>
      </m:oMathPara>
    </w:p>
    <w:p w14:paraId="339F8F31" w14:textId="77777777" w:rsidR="00275611" w:rsidRDefault="00935B27">
      <w:pPr>
        <w:pStyle w:val="FirstParagraph"/>
      </w:pPr>
      <w:r>
        <w:t xml:space="preserve">where </w:t>
      </w:r>
      <m:oMath>
        <m:sSub>
          <m:sSubPr>
            <m:ctrlPr>
              <w:rPr>
                <w:rFonts w:ascii="Cambria Math" w:hAnsi="Cambria Math"/>
              </w:rPr>
            </m:ctrlPr>
          </m:sSubPr>
          <m:e>
            <m:r>
              <w:rPr>
                <w:rFonts w:ascii="Cambria Math" w:hAnsi="Cambria Math"/>
              </w:rPr>
              <m:t>e</m:t>
            </m:r>
          </m:e>
          <m:sub>
            <m:r>
              <w:rPr>
                <w:rFonts w:ascii="Cambria Math" w:hAnsi="Cambria Math"/>
              </w:rPr>
              <m:t>ks</m:t>
            </m:r>
          </m:sub>
        </m:sSub>
        <m:r>
          <w:rPr>
            <w:rFonts w:ascii="Cambria Math" w:hAnsi="Cambria Math"/>
          </w:rPr>
          <m:t>=</m:t>
        </m:r>
        <m:r>
          <m:rPr>
            <m:nor/>
          </m:rPr>
          <m:t>I</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k</m:t>
            </m:r>
          </m:sub>
        </m:sSub>
        <m:r>
          <w:rPr>
            <w:rFonts w:ascii="Cambria Math" w:hAnsi="Cambria Math"/>
          </w:rPr>
          <m:t>-</m:t>
        </m:r>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k</m:t>
            </m:r>
          </m:sub>
        </m:sSub>
        <m:r>
          <w:rPr>
            <w:rFonts w:ascii="Cambria Math" w:hAnsi="Cambria Math"/>
          </w:rPr>
          <m:t>+</m:t>
        </m:r>
        <m:r>
          <w:rPr>
            <w:rFonts w:ascii="Cambria Math" w:hAnsi="Cambria Math"/>
          </w:rPr>
          <m:t>f</m:t>
        </m:r>
        <m:r>
          <w:rPr>
            <w:rFonts w:ascii="Cambria Math" w:hAnsi="Cambria Math"/>
          </w:rPr>
          <m:t>)}</m:t>
        </m:r>
      </m:oMath>
      <w:r>
        <w:t xml:space="preserve"> is the number of elemental regions </w:t>
      </w:r>
      <m:oMath>
        <m:r>
          <w:rPr>
            <w:rFonts w:ascii="Cambria Math" w:hAnsi="Cambria Math"/>
          </w:rPr>
          <m:t>r</m:t>
        </m:r>
      </m:oMath>
      <w:r>
        <w:t xml:space="preserve"> of predictor </w:t>
      </w:r>
      <m:oMath>
        <m:r>
          <w:rPr>
            <w:rFonts w:ascii="Cambria Math" w:hAnsi="Cambria Math"/>
          </w:rPr>
          <m:t>p</m:t>
        </m:r>
      </m:oMath>
      <w:r>
        <w:t xml:space="preserve"> </w:t>
      </w:r>
      <w:r>
        <w:t xml:space="preserve">that overlap with each flanked boundary. We evaluated </w:t>
      </w:r>
      <m:oMath>
        <m:r>
          <w:rPr>
            <w:rFonts w:ascii="Cambria Math" w:hAnsi="Cambria Math"/>
          </w:rPr>
          <m:t>NE</m:t>
        </m:r>
      </m:oMath>
      <w:r>
        <w:t xml:space="preserve"> for combinations of </w:t>
      </w:r>
      <m:oMath>
        <m:r>
          <w:rPr>
            <w:rFonts w:ascii="Cambria Math" w:hAnsi="Cambria Math"/>
          </w:rPr>
          <m:t>t</m:t>
        </m:r>
        <m:r>
          <w:rPr>
            <w:rFonts w:ascii="Cambria Math" w:hAnsi="Cambria Math"/>
          </w:rPr>
          <m:t>={0.975,0.99,1.0}</m:t>
        </m:r>
      </m:oMath>
      <w:r>
        <w:t xml:space="preserve"> </w:t>
      </w:r>
      <w:r>
        <w:lastRenderedPageBreak/>
        <w:t xml:space="preserve">and </w:t>
      </w:r>
      <m:oMath>
        <m:r>
          <w:rPr>
            <w:rFonts w:ascii="Cambria Math" w:hAnsi="Cambria Math"/>
          </w:rPr>
          <m:t>ϵ</m:t>
        </m:r>
        <m:r>
          <w:rPr>
            <w:rFonts w:ascii="Cambria Math" w:hAnsi="Cambria Math"/>
          </w:rPr>
          <m:t>={1000,5000,10000,15000,20000,25000}</m:t>
        </m:r>
      </m:oMath>
      <w:r>
        <w:t xml:space="preserve">. The heuristic of </w:t>
      </w:r>
      <m:oMath>
        <m:r>
          <w:rPr>
            <w:rFonts w:ascii="Cambria Math" w:hAnsi="Cambria Math"/>
          </w:rPr>
          <m:t>ϵ</m:t>
        </m:r>
      </m:oMath>
      <w:r>
        <w:t xml:space="preserve"> is that density-reachable bases with genomic distances less than </w:t>
      </w:r>
      <m:oMath>
        <m:r>
          <w:rPr>
            <w:rFonts w:ascii="Cambria Math" w:hAnsi="Cambria Math"/>
          </w:rPr>
          <m:t>ϵ</m:t>
        </m:r>
      </m:oMath>
      <w:r>
        <w:t xml:space="preserve"> should occupy the same de</w:t>
      </w:r>
      <w:r>
        <w:t xml:space="preserve">signated cluster. The default combination was set to </w:t>
      </w:r>
      <m:oMath>
        <m:r>
          <w:rPr>
            <w:rFonts w:ascii="Cambria Math" w:hAnsi="Cambria Math"/>
          </w:rPr>
          <m:t>t</m:t>
        </m:r>
        <m:r>
          <w:rPr>
            <w:rFonts w:ascii="Cambria Math" w:hAnsi="Cambria Math"/>
          </w:rPr>
          <m:t>=1.0</m:t>
        </m:r>
      </m:oMath>
      <w:r>
        <w:t xml:space="preserve"> and </w:t>
      </w:r>
      <m:oMath>
        <m:r>
          <w:rPr>
            <w:rFonts w:ascii="Cambria Math" w:hAnsi="Cambria Math"/>
          </w:rPr>
          <m:t>ϵ</m:t>
        </m:r>
        <m:r>
          <w:rPr>
            <w:rFonts w:ascii="Cambria Math" w:hAnsi="Cambria Math"/>
          </w:rPr>
          <m:t>=10000</m:t>
        </m:r>
      </m:oMath>
      <w:r>
        <w:t xml:space="preserve"> based on our tests (Additional file: Figure S11).</w:t>
      </w:r>
    </w:p>
    <w:p w14:paraId="0B450D31" w14:textId="77777777" w:rsidR="00275611" w:rsidRDefault="00935B27">
      <w:pPr>
        <w:pStyle w:val="Heading2"/>
      </w:pPr>
      <w:bookmarkStart w:id="23" w:name="X87a5dca2e4871abb0c09070ab6f38d2b2d61f5d"/>
      <w:r>
        <w:t>Evaluating called and predicted boundary precision</w:t>
      </w:r>
      <w:bookmarkEnd w:id="23"/>
    </w:p>
    <w:p w14:paraId="7317C1BA" w14:textId="77777777" w:rsidR="00275611" w:rsidRDefault="00935B27">
      <w:pPr>
        <w:pStyle w:val="FirstParagraph"/>
      </w:pPr>
      <w:r>
        <w:t>We assessed the biological significance of our predicted boundaries by their assoc</w:t>
      </w:r>
      <w:r>
        <w:t xml:space="preserve">iation with the signal of CTCF, RAD21, SMC3, and ZNF143 using </w:t>
      </w:r>
      <w:r>
        <w:rPr>
          <w:i/>
        </w:rPr>
        <w:t>deepTools</w:t>
      </w:r>
      <w:r>
        <w:t xml:space="preserve"> (version 2.0) [54] (</w:t>
      </w:r>
      <w:r>
        <w:rPr>
          <w:i/>
        </w:rPr>
        <w:t>computeMatrix</w:t>
      </w:r>
      <w:r>
        <w:t xml:space="preserve">, </w:t>
      </w:r>
      <w:r>
        <w:rPr>
          <w:i/>
        </w:rPr>
        <w:t>plotProfile</w:t>
      </w:r>
      <w:r>
        <w:t xml:space="preserve">, and </w:t>
      </w:r>
      <w:r>
        <w:rPr>
          <w:i/>
        </w:rPr>
        <w:t>plotHeatmap</w:t>
      </w:r>
      <w:r>
        <w:t xml:space="preserve"> tools). Additionally, we compared the median </w:t>
      </w: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oMath>
      <w:r>
        <w:t xml:space="preserve"> genomic distances between TAD boundaries and the same top predictiv</w:t>
      </w:r>
      <w:r>
        <w:t xml:space="preserve">e ChIP-seq annotations using Wilcoxon Rank-Sum tests. Furthermore, we compared the overlap between predicted and called boundaries in GM12878 and K562 cell lines. Boundaries were first flanked by resolution, </w:t>
      </w:r>
      <w:r>
        <w:rPr>
          <w:i/>
        </w:rPr>
        <w:t>r</w:t>
      </w:r>
      <w:r>
        <w:t>, and overlaps were visualized using Venn diagr</w:t>
      </w:r>
      <w:r>
        <w:t xml:space="preserve">ams from the </w:t>
      </w:r>
      <w:r>
        <w:rPr>
          <w:rStyle w:val="VerbatimChar"/>
        </w:rPr>
        <w:t>Vennerable</w:t>
      </w:r>
      <w:r>
        <w:t xml:space="preserve"> R package (version 3.1.0). Overlaps were further quantified using the Jaccard index defined as</w:t>
      </w:r>
    </w:p>
    <w:p w14:paraId="716FEDDC" w14:textId="77777777" w:rsidR="00275611" w:rsidRDefault="00935B27">
      <w:pPr>
        <w:pStyle w:val="BodyText"/>
      </w:pPr>
      <m:oMathPara>
        <m:oMathParaPr>
          <m:jc m:val="center"/>
        </m:oMathParaPr>
        <m:oMath>
          <m:sSub>
            <m:sSubPr>
              <m:ctrlPr>
                <w:rPr>
                  <w:rFonts w:ascii="Cambria Math" w:hAnsi="Cambria Math"/>
                </w:rPr>
              </m:ctrlPr>
            </m:sSubPr>
            <m:e>
              <m:r>
                <w:rPr>
                  <w:rFonts w:ascii="Cambria Math" w:hAnsi="Cambria Math"/>
                </w:rPr>
                <m:t>J</m:t>
              </m:r>
            </m:e>
            <m:sub>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sub>
          </m:sSub>
          <m:r>
            <w:rPr>
              <w:rFonts w:ascii="Cambria Math" w:hAnsi="Cambria Math"/>
            </w:rPr>
            <m:t>=</m:t>
          </m:r>
          <m:f>
            <m:fPr>
              <m:ctrlPr>
                <w:rPr>
                  <w:rFonts w:ascii="Cambria Math" w:hAnsi="Cambria Math"/>
                </w:rPr>
              </m:ctrlPr>
            </m:fPr>
            <m:num>
              <m:r>
                <w:rPr>
                  <w:rFonts w:ascii="Cambria Math" w:hAnsi="Cambria Math"/>
                </w:rPr>
                <m:t>A</m:t>
              </m:r>
              <m:r>
                <w:rPr>
                  <w:rFonts w:ascii="Cambria Math" w:hAnsi="Cambria Math"/>
                </w:rPr>
                <m:t>∩</m:t>
              </m:r>
              <m:r>
                <w:rPr>
                  <w:rFonts w:ascii="Cambria Math" w:hAnsi="Cambria Math"/>
                </w:rPr>
                <m:t>B</m:t>
              </m:r>
            </m:num>
            <m:den>
              <m:r>
                <w:rPr>
                  <w:rFonts w:ascii="Cambria Math" w:hAnsi="Cambria Math"/>
                </w:rPr>
                <m:t>A</m:t>
              </m:r>
              <m:r>
                <w:rPr>
                  <w:rFonts w:ascii="Cambria Math" w:hAnsi="Cambria Math"/>
                </w:rPr>
                <m:t>∪</m:t>
              </m:r>
              <m:r>
                <w:rPr>
                  <w:rFonts w:ascii="Cambria Math" w:hAnsi="Cambria Math"/>
                </w:rPr>
                <m:t>B</m:t>
              </m:r>
            </m:den>
          </m:f>
        </m:oMath>
      </m:oMathPara>
    </w:p>
    <w:p w14:paraId="6E050356" w14:textId="77777777" w:rsidR="00275611" w:rsidRDefault="00935B27">
      <w:pPr>
        <w:pStyle w:val="FirstParagraph"/>
      </w:pPr>
      <w:r>
        <w:t>where A and B represent genomic regions created by flanked called and predicted boundaries. That is, between cell li</w:t>
      </w:r>
      <w:r>
        <w:t xml:space="preserve">nes, the number of overlapping flanked boundaries divided by the total number of flanked boundaries. Wilcoxon Rank-Sum tests were used to compare chromosome-specific Jaccard indices across cell lines, between </w:t>
      </w:r>
      <w:r>
        <w:rPr>
          <w:i/>
        </w:rPr>
        <w:t>preciseTAD</w:t>
      </w:r>
      <w:r>
        <w:t xml:space="preserve"> boundaries and both Arrowhead and Pe</w:t>
      </w:r>
      <w:r>
        <w:t>akachu boundaries, respectively. All statistical analyses were performed in R version 4.0.1. The significance level was set to 0.05 for all statistical tests.</w:t>
      </w:r>
    </w:p>
    <w:p w14:paraId="515DE22B" w14:textId="77777777" w:rsidR="00275611" w:rsidRDefault="00935B27">
      <w:pPr>
        <w:pStyle w:val="Heading1"/>
      </w:pPr>
      <w:bookmarkStart w:id="24" w:name="figure-legends"/>
      <w:r>
        <w:lastRenderedPageBreak/>
        <w:t>Figure legends</w:t>
      </w:r>
      <w:bookmarkEnd w:id="24"/>
    </w:p>
    <w:p w14:paraId="19BA6311" w14:textId="77777777" w:rsidR="00275611" w:rsidRDefault="00935B27">
      <w:pPr>
        <w:pStyle w:val="FirstParagraph"/>
      </w:pPr>
      <w:r>
        <w:rPr>
          <w:b/>
        </w:rPr>
        <w:t>Figure 1. Resolution-specific data construction and feature engineering for random</w:t>
      </w:r>
      <w:r>
        <w:rPr>
          <w:b/>
        </w:rPr>
        <w:t xml:space="preserve"> forest modeling.</w:t>
      </w:r>
      <w:r>
        <w:t xml:space="preserve"> (A) The linear genome was binned into non-overlapping resolution-specific intervals using </w:t>
      </w:r>
      <w:r>
        <w:rPr>
          <w:i/>
        </w:rPr>
        <w:t>shifted binning</w:t>
      </w:r>
      <w:r>
        <w:t xml:space="preserve"> (see Methods). The response vector </w:t>
      </w:r>
      <w:r>
        <w:rPr>
          <w:b/>
        </w:rPr>
        <w:t>Y</w:t>
      </w:r>
      <w:r>
        <w:t xml:space="preserve"> was defined as 1/0 if a genomic bin overlapped/did not overlap with a TAD (or loop) boundary. (</w:t>
      </w:r>
      <w:r>
        <w:t xml:space="preserve">B) Four types of associations between bins (blue dashed lines) and genomic annotations (green shapes) were considered to build the predictor space including Average Peak Signal (Signal), Overlap Counts (OC), Overlap Percent (OP), and </w:t>
      </w: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oMath>
      <w:r>
        <w:t xml:space="preserve"> distance (Dist</w:t>
      </w:r>
      <w:r>
        <w:t>ance).</w:t>
      </w:r>
    </w:p>
    <w:p w14:paraId="1E7735AE" w14:textId="77777777" w:rsidR="00275611" w:rsidRDefault="00935B27">
      <w:pPr>
        <w:pStyle w:val="BodyText"/>
      </w:pPr>
      <w:r>
        <w:rPr>
          <w:b/>
        </w:rPr>
        <w:t>Figure 2. A machine learning framework for building domain boundary region prediction models.</w:t>
      </w:r>
      <w:r>
        <w:t xml:space="preserve"> Step 1 employs a range of feature engineering techniques to define the predictor matrix </w:t>
      </w:r>
      <m:oMath>
        <m:sSub>
          <m:sSubPr>
            <m:ctrlPr>
              <w:rPr>
                <w:rFonts w:ascii="Cambria Math" w:hAnsi="Cambria Math"/>
              </w:rPr>
            </m:ctrlPr>
          </m:sSubPr>
          <m:e>
            <m:r>
              <w:rPr>
                <w:rFonts w:ascii="Cambria Math" w:hAnsi="Cambria Math"/>
              </w:rPr>
              <m:t>A</m:t>
            </m:r>
          </m:e>
          <m:sub>
            <m:r>
              <w:rPr>
                <w:rFonts w:ascii="Cambria Math" w:hAnsi="Cambria Math"/>
              </w:rPr>
              <m:t>N</m:t>
            </m:r>
            <m:r>
              <w:rPr>
                <w:rFonts w:ascii="Cambria Math" w:hAnsi="Cambria Math"/>
              </w:rPr>
              <m:t>×(</m:t>
            </m:r>
            <m:r>
              <w:rPr>
                <w:rFonts w:ascii="Cambria Math" w:hAnsi="Cambria Math"/>
              </w:rPr>
              <m:t>p</m:t>
            </m:r>
            <m:r>
              <w:rPr>
                <w:rFonts w:ascii="Cambria Math" w:hAnsi="Cambria Math"/>
              </w:rPr>
              <m:t>)</m:t>
            </m:r>
          </m:sub>
        </m:sSub>
      </m:oMath>
      <w:r>
        <w:t xml:space="preserve">, where </w:t>
      </w:r>
      <m:oMath>
        <m:r>
          <w:rPr>
            <w:rFonts w:ascii="Cambria Math" w:hAnsi="Cambria Math"/>
          </w:rPr>
          <m:t>N</m:t>
        </m:r>
      </m:oMath>
      <w:r>
        <w:t xml:space="preserve"> is the number of genomic bins, </w:t>
      </w:r>
      <m:oMath>
        <m:r>
          <w:rPr>
            <w:rFonts w:ascii="Cambria Math" w:hAnsi="Cambria Math"/>
          </w:rPr>
          <m:t>p</m:t>
        </m:r>
      </m:oMath>
      <w:r>
        <w:t xml:space="preserve"> is the number</w:t>
      </w:r>
      <w:r>
        <w:t xml:space="preserve"> of genomic annotations, </w:t>
      </w:r>
      <m:oMath>
        <m:r>
          <w:rPr>
            <w:rFonts w:ascii="Cambria Math" w:hAnsi="Cambria Math"/>
          </w:rPr>
          <m:t>i</m:t>
        </m:r>
      </m:oMath>
      <w:r>
        <w:t xml:space="preserve"> is a holdout chromosome. The response vector </w:t>
      </w:r>
      <m:oMath>
        <m:sSub>
          <m:sSubPr>
            <m:ctrlPr>
              <w:rPr>
                <w:rFonts w:ascii="Cambria Math" w:hAnsi="Cambria Math"/>
              </w:rPr>
            </m:ctrlPr>
          </m:sSubPr>
          <m:e>
            <m:r>
              <w:rPr>
                <w:rFonts w:ascii="Cambria Math" w:hAnsi="Cambria Math"/>
              </w:rPr>
              <m:t>Y</m:t>
            </m:r>
          </m:e>
          <m:sub>
            <m:r>
              <w:rPr>
                <w:rFonts w:ascii="Cambria Math" w:hAnsi="Cambria Math"/>
              </w:rPr>
              <m:t>N</m:t>
            </m:r>
          </m:sub>
        </m:sSub>
      </m:oMath>
      <w:r>
        <w:t xml:space="preserve"> is defined as a boundary region (</w:t>
      </w:r>
      <m:oMath>
        <m:r>
          <w:rPr>
            <w:rFonts w:ascii="Cambria Math" w:hAnsi="Cambria Math"/>
          </w:rPr>
          <m:t>Y</m:t>
        </m:r>
        <m:r>
          <w:rPr>
            <w:rFonts w:ascii="Cambria Math" w:hAnsi="Cambria Math"/>
          </w:rPr>
          <m:t>=1</m:t>
        </m:r>
      </m:oMath>
      <w:r>
        <w:t xml:space="preserve">) if it overlaps with a genomic bin (else </w:t>
      </w:r>
      <m:oMath>
        <m:r>
          <w:rPr>
            <w:rFonts w:ascii="Cambria Math" w:hAnsi="Cambria Math"/>
          </w:rPr>
          <m:t>Y</m:t>
        </m:r>
        <m:r>
          <w:rPr>
            <w:rFonts w:ascii="Cambria Math" w:hAnsi="Cambria Math"/>
          </w:rPr>
          <m:t>=0</m:t>
        </m:r>
      </m:oMath>
      <w:r>
        <w:t xml:space="preserve">). Step 2 reserves the predictor-response matrix for the holdout chromosome </w:t>
      </w:r>
      <m:oMath>
        <m:r>
          <w:rPr>
            <w:rFonts w:ascii="Cambria Math" w:hAnsi="Cambria Math"/>
          </w:rPr>
          <m:t>i</m:t>
        </m:r>
      </m:oMath>
      <w:r>
        <w:t xml:space="preserve"> as the test data</w:t>
      </w:r>
      <w:r>
        <w:t>. Step 3 applies a resampling technique to the training data to address the class imbalance. Step 4 trains the random forest model and performs 3-fold cross-validation to tune the mtry parameter. Finally, step 5 validates the model on the separate test dat</w:t>
      </w:r>
      <w:r>
        <w:t xml:space="preserve">a composed of the binned data from the holdout chromosome </w:t>
      </w:r>
      <m:oMath>
        <m:r>
          <w:rPr>
            <w:rFonts w:ascii="Cambria Math" w:hAnsi="Cambria Math"/>
          </w:rPr>
          <m:t>i</m:t>
        </m:r>
      </m:oMath>
      <w:r>
        <w:t xml:space="preserve"> and to evaluate model performance using balanced accuracy (BA).</w:t>
      </w:r>
    </w:p>
    <w:p w14:paraId="5E531805" w14:textId="77777777" w:rsidR="00275611" w:rsidRDefault="00935B27">
      <w:pPr>
        <w:pStyle w:val="BodyText"/>
      </w:pPr>
      <w:r>
        <w:rPr>
          <w:b/>
        </w:rPr>
        <w:t>Figure 3. Determining optimal data level characteristics for building TAD boundary region prediction models on GM12878.</w:t>
      </w:r>
      <w:r>
        <w:t xml:space="preserve"> Averaged ba</w:t>
      </w:r>
      <w:r>
        <w:t>lanced accuracies are compared across resolution, within each predictor-type: Signal, OC, OP, and Distance, and across resampling techniques: no resampling (None; red), random over-sampling (ROS; green), random under-sampling (RUS; blue), and synthetic min</w:t>
      </w:r>
      <w:r>
        <w:t xml:space="preserve">ority over-sampling (SMOTE; purple). Error bars </w:t>
      </w:r>
      <w:r>
        <w:lastRenderedPageBreak/>
        <w:t>indicate standard deviation from the mean performance across each holdout chromosome used for testing.</w:t>
      </w:r>
    </w:p>
    <w:p w14:paraId="34CD606B" w14:textId="77777777" w:rsidR="00275611" w:rsidRDefault="00935B27">
      <w:pPr>
        <w:pStyle w:val="BodyText"/>
      </w:pPr>
      <w:r>
        <w:rPr>
          <w:b/>
        </w:rPr>
        <w:t xml:space="preserve">Figure 4. SMC3, RAD21, CTCF, and ZNF143 transcription factors accurately predict TAD and loop boundaries </w:t>
      </w:r>
      <w:r>
        <w:rPr>
          <w:b/>
        </w:rPr>
        <w:t>in GM12878.</w:t>
      </w:r>
      <w:r>
        <w:t xml:space="preserve"> (A) Barplots comparing performances of TAD (Arrowhead) and loop (Peakachu) boundary prediction models using histone modifications (HM), chromatin states (BroadHMM), transcription factor binding sites (TFBS), in addition to a model containing al</w:t>
      </w:r>
      <w:r>
        <w:t xml:space="preserve">l three classes (ALL). (B) Recursive feature elimination (RFE) analysis used to select the optimal number of predictors. Error bars represent 1 standard deviation from the mean cross-validated accuracy across each holdout chromosome. (C) Clustered heatmap </w:t>
      </w:r>
      <w:r>
        <w:t>of the predictive importance for the union of the top 8 most predictive chromosome-specific TFBSs. The columns represent the holdout chromosome excluded from the training data. (D) Receiver operating characteristic (ROC) curves and the corresponding averag</w:t>
      </w:r>
      <w:r>
        <w:t>e area under the curves (AUCs) when training and testing on GM12878 data (blue, Arrowhead ground truth; red, Peakachu ground truth) versus training on K562 and testing on GM12878 data (black, dashed). The curves represent the average sensitivities and spec</w:t>
      </w:r>
      <w:r>
        <w:t>ificities across each holdout chromosome. The shaded areas around each curve represent 1 standard deviation from the average.</w:t>
      </w:r>
    </w:p>
    <w:p w14:paraId="45F8B23A" w14:textId="77777777" w:rsidR="00275611" w:rsidRDefault="00935B27">
      <w:pPr>
        <w:pStyle w:val="BodyText"/>
      </w:pPr>
      <w:r>
        <w:rPr>
          <w:b/>
        </w:rPr>
        <w:t>Figure 5. preciseTAD boundaries are enriched for known molecular drivers of 3D chromatin.</w:t>
      </w:r>
      <w:r>
        <w:t xml:space="preserve"> (A) The location of Arrowhead-called TAD</w:t>
      </w:r>
      <w:r>
        <w:t xml:space="preserve"> boundaries (blue) vs. </w:t>
      </w:r>
      <w:r>
        <w:rPr>
          <w:i/>
        </w:rPr>
        <w:t>preciseTAD</w:t>
      </w:r>
      <w:r>
        <w:t xml:space="preserve">-predicted TAD boundaries (green) on GM12878 data (chr14:50085000-50800000). The black line represents the predicted probability of each base being a TAD boundary. (B) A zoomed-in portion of the genome shows the preciseTAD </w:t>
      </w:r>
      <w:r>
        <w:t>boundary region (PTBR, highlighted yellow), a cluster of bases with high probability of being a boundary, and the corresponding signal profiles of CTCF, RAD21, SMC3, and ZNF143. (C, D) Signal profile plots comparing the strength of CTCF, RAD21, SMC3, and Z</w:t>
      </w:r>
      <w:r>
        <w:t>NF143 binding around Arrowhead-called boundaries (blue, C), Peakachu loop boundaries (red, D) vs. </w:t>
      </w:r>
      <w:r>
        <w:rPr>
          <w:i/>
        </w:rPr>
        <w:t>preciseTAD</w:t>
      </w:r>
      <w:r>
        <w:t>-predicted boundaries (green).</w:t>
      </w:r>
    </w:p>
    <w:p w14:paraId="70DA2E3D" w14:textId="77777777" w:rsidR="00275611" w:rsidRDefault="00935B27">
      <w:pPr>
        <w:pStyle w:val="BodyText"/>
      </w:pPr>
      <w:r>
        <w:rPr>
          <w:b/>
        </w:rPr>
        <w:lastRenderedPageBreak/>
        <w:t>Figure 6. preciseTAD-predicted boundaries are closer to CTCF sites and more conserved across cell lines</w:t>
      </w:r>
      <w:r>
        <w:t>. (A) Log2 gen</w:t>
      </w:r>
      <w:r>
        <w:t>omic distance distribution from called and predicted boundaries to nearest CTCF sites. The p-values are from the Wilcoxon Rank Sum test. (B-E) Venn diagrams illustrating the levels of conservation (overlap) between domain boundaries for GM12878 (red) and K</w:t>
      </w:r>
      <w:r>
        <w:t xml:space="preserve">562 (blue) cell lines identified by Arrowhead (B), Peakachu (D), </w:t>
      </w:r>
      <w:r>
        <w:rPr>
          <w:i/>
        </w:rPr>
        <w:t>preciseTAD</w:t>
      </w:r>
      <w:r>
        <w:t xml:space="preserve">-predicted boundaries using Arrowhead- and Peakachu-trained models () Arrowhead-trained </w:t>
      </w:r>
      <w:r>
        <w:rPr>
          <w:i/>
        </w:rPr>
        <w:t>preciseTAD</w:t>
      </w:r>
      <w:r>
        <w:t xml:space="preserve"> </w:t>
      </w:r>
      <w:r>
        <w:t>models (C), Peakachu boundaries themselves (C, E, respectively). Boundaries involving Arrowhead/Peakachu were flanked by 5 kb/10 kb, respectively.</w:t>
      </w:r>
    </w:p>
    <w:p w14:paraId="7D2CCBD3" w14:textId="77777777" w:rsidR="00275611" w:rsidRDefault="00935B27">
      <w:pPr>
        <w:pStyle w:val="Heading1"/>
      </w:pPr>
      <w:bookmarkStart w:id="25" w:name="additional-file-legends"/>
      <w:r>
        <w:t>Additional file legends</w:t>
      </w:r>
      <w:bookmarkEnd w:id="25"/>
    </w:p>
    <w:p w14:paraId="3A944C9F" w14:textId="77777777" w:rsidR="00275611" w:rsidRDefault="00935B27">
      <w:pPr>
        <w:pStyle w:val="FirstParagraph"/>
      </w:pPr>
      <w:r>
        <w:rPr>
          <w:b/>
        </w:rPr>
        <w:t>Arrowhead Script.</w:t>
      </w:r>
      <w:r>
        <w:t xml:space="preserve"> An example script for applying Arrowhead to in situ Hi-C data (HIC0</w:t>
      </w:r>
      <w:r>
        <w:t>01-HIC018) to obtain chromosome-specific TAD boundaries on the GM12878 cell line at 5kb, 10kb, 25kb, 50kb, 100kb resolutions.</w:t>
      </w:r>
    </w:p>
    <w:p w14:paraId="664C4A0C" w14:textId="77777777" w:rsidR="00275611" w:rsidRDefault="00935B27">
      <w:pPr>
        <w:pStyle w:val="BodyText"/>
      </w:pPr>
      <w:r>
        <w:rPr>
          <w:b/>
        </w:rPr>
        <w:t>Table S1.</w:t>
      </w:r>
      <w:r>
        <w:t xml:space="preserve"> Data sources for Hi-C matrices used to call topologically associating domains with Arrowhead, as well as loop boundaries</w:t>
      </w:r>
      <w:r>
        <w:t xml:space="preserve"> obtained by Peakachu.</w:t>
      </w:r>
    </w:p>
    <w:p w14:paraId="17C1A9D8" w14:textId="77777777" w:rsidR="00275611" w:rsidRDefault="00935B27">
      <w:pPr>
        <w:pStyle w:val="BodyText"/>
      </w:pPr>
      <w:r>
        <w:rPr>
          <w:b/>
        </w:rPr>
        <w:t>Table S2.</w:t>
      </w:r>
      <w:r>
        <w:t xml:space="preserve"> Domain boundary data and class imbalance summaries across resolutions for Arrowhead and Peakachu on K562.</w:t>
      </w:r>
    </w:p>
    <w:p w14:paraId="7B9D8421" w14:textId="77777777" w:rsidR="00275611" w:rsidRDefault="00935B27">
      <w:pPr>
        <w:pStyle w:val="BodyText"/>
      </w:pPr>
      <w:r>
        <w:rPr>
          <w:b/>
        </w:rPr>
        <w:t>Table S3.</w:t>
      </w:r>
      <w:r>
        <w:t xml:space="preserve"> A complete list of genomic annotations used to build the predictor space for all downstream models. The GRC</w:t>
      </w:r>
      <w:r>
        <w:t>h37/hg19 human genome assembly was used. “Genomic Class” - broad category of genomic features, “Element” - names of genomic features, “Cell line-Specific Source” - download URL specific to the cell line (not all annotations were provided by the same instit</w:t>
      </w:r>
      <w:r>
        <w:t>utions).</w:t>
      </w:r>
    </w:p>
    <w:p w14:paraId="64E2DCD3" w14:textId="77777777" w:rsidR="00275611" w:rsidRDefault="00935B27">
      <w:pPr>
        <w:pStyle w:val="BodyText"/>
      </w:pPr>
      <w:r>
        <w:rPr>
          <w:b/>
        </w:rPr>
        <w:lastRenderedPageBreak/>
        <w:t>Figure S1. The log_2 transformation of genomic distances normalizes their distributions.</w:t>
      </w:r>
      <w:r>
        <w:t xml:space="preserve"> Distances are measured as the number of bases from the center of a genomic bin to the nearest genomic annotation center. Density curves of distances before (r</w:t>
      </w:r>
      <w:r>
        <w:t>ed) and after (blue) performing a log_2 transformation across 10 kb, 25 kb, 50 kb, and 100 kb data resolutions for both the (A) GM12878 and (B) K562 cell lines. Each density curve represents an individual genomic annotation (77 total).</w:t>
      </w:r>
    </w:p>
    <w:p w14:paraId="6E3E67C9" w14:textId="77777777" w:rsidR="00275611" w:rsidRDefault="00935B27">
      <w:pPr>
        <w:pStyle w:val="BodyText"/>
      </w:pPr>
      <w:r>
        <w:rPr>
          <w:b/>
        </w:rPr>
        <w:t>Figure S2. Determining optimal data level characteristics for building TAD boundary region prediction models on K562.</w:t>
      </w:r>
      <w:r>
        <w:t xml:space="preserve"> (A) Averaged balanced accuracies are compared across resolution, within each predictor-type: Signal, OC, OP, and Distance, and across resa</w:t>
      </w:r>
      <w:r>
        <w:t>mpling techniques: no resampling (None; red), random over-sampling (ROS; green), random under-sampling (RUS; blue), and synthetic minority over-sampling (SMOTE; purple) when using Arrowhead ground truth boundaries for K562. (B) Averaged balanced accuracies</w:t>
      </w:r>
      <w:r>
        <w:t xml:space="preserve"> are compared for GM12878 and (C) K562 within each predictor-type: Signal, OC, OP, and Distance, and across resampling technique: no resampling (None; red), random over-sampling (ROS; green), random under-sampling (RUS; blue), and synthetic minority over-s</w:t>
      </w:r>
      <w:r>
        <w:t>ampling (SMOTE; purple). Error bars indicate standard deviation away from the mean performance across each holdout chromosome used for testing.</w:t>
      </w:r>
    </w:p>
    <w:p w14:paraId="6B2081C1" w14:textId="77777777" w:rsidR="00275611" w:rsidRDefault="00935B27">
      <w:pPr>
        <w:pStyle w:val="BodyText"/>
      </w:pPr>
      <w:r>
        <w:rPr>
          <w:b/>
        </w:rPr>
        <w:t>Figure S3. SMC3, RAD21, CTCF, and ZNF143 transcription factors accurately predict TAD and loop boundaries in K56</w:t>
      </w:r>
      <w:r>
        <w:rPr>
          <w:b/>
        </w:rPr>
        <w:t>2.</w:t>
      </w:r>
      <w:r>
        <w:t xml:space="preserve"> (A) Barplots comparing performances of TAD (Arrowhead) and loop (Peakachu) boundary prediction models using histone modifications (HM), chromatin states (BroadHMM), transcription factor binding sites (TFBS), in addition to a model containing all three c</w:t>
      </w:r>
      <w:r>
        <w:t>lasses (ALL). (B) Recursive feature elimination (RFE) analysis used to select the optimal number of predictors. Error bars represent 1 standard deviation from the mean cross-validated accuracy across each holdout chromosome. (C) Clustered heatmap of the pr</w:t>
      </w:r>
      <w:r>
        <w:t xml:space="preserve">edictive importance for the union of the top 8 most predictive chromosome-specific TFBSs. The columns represent </w:t>
      </w:r>
      <w:r>
        <w:lastRenderedPageBreak/>
        <w:t>the holdout chromosome excluded from the training data. (D) Receiver operating characteristic (ROC) curves and the corresponding average area un</w:t>
      </w:r>
      <w:r>
        <w:t>der the curves (AUCs) when training and testing on K562 data (blue, Arrowhead ground truth; red, Peakachu ground truth) versus training on GM12878 and testing on K5628 data (black, dashed). The curves represent the average sensitivities and specificities a</w:t>
      </w:r>
      <w:r>
        <w:t>cross each holdout chromosome. The shaded areas around each curve represent 1 standard deviation from the average.</w:t>
      </w:r>
    </w:p>
    <w:p w14:paraId="591EAD24" w14:textId="77777777" w:rsidR="00275611" w:rsidRDefault="00935B27">
      <w:pPr>
        <w:pStyle w:val="BodyText"/>
      </w:pPr>
      <w:r>
        <w:rPr>
          <w:b/>
        </w:rPr>
        <w:t xml:space="preserve">Figure S4. Pseudocode of the </w:t>
      </w:r>
      <w:r>
        <w:rPr>
          <w:b/>
          <w:i/>
        </w:rPr>
        <w:t>preciseTAD</w:t>
      </w:r>
      <w:r>
        <w:rPr>
          <w:b/>
        </w:rPr>
        <w:t xml:space="preserve"> algorithm.</w:t>
      </w:r>
    </w:p>
    <w:p w14:paraId="08E52ACE" w14:textId="77777777" w:rsidR="00275611" w:rsidRDefault="00935B27">
      <w:pPr>
        <w:pStyle w:val="BodyText"/>
      </w:pPr>
      <w:r>
        <w:rPr>
          <w:b/>
        </w:rPr>
        <w:t>Table S4.</w:t>
      </w:r>
      <w:r>
        <w:t xml:space="preserve"> hg19/GRCh37 genomic coordinates of </w:t>
      </w:r>
      <w:r>
        <w:rPr>
          <w:i/>
        </w:rPr>
        <w:t>preciseTAD</w:t>
      </w:r>
      <w:r>
        <w:t xml:space="preserve">-predicted boundary regions (PTBR) </w:t>
      </w:r>
      <w:r>
        <w:t>and points (PTBP) for GM12878 and K562 cell lines, using models trained on Arrowhead TAD and Peakachu chromatin loop boundaries as ground truth. For PTBRs, the start and end coordinates define the clusters of spatially proximal bases with the probability o</w:t>
      </w:r>
      <w:r>
        <w:t>f being a boundary equal to 1. For PTBPs, the start and end (start+1) coordinates define the most likely boundary point within each PTBR.</w:t>
      </w:r>
    </w:p>
    <w:p w14:paraId="5AA7C374" w14:textId="77777777" w:rsidR="00275611" w:rsidRDefault="00935B27">
      <w:pPr>
        <w:pStyle w:val="BodyText"/>
      </w:pPr>
      <w:r>
        <w:rPr>
          <w:b/>
        </w:rPr>
        <w:t xml:space="preserve">Figure S5. </w:t>
      </w:r>
      <w:r>
        <w:rPr>
          <w:b/>
          <w:i/>
        </w:rPr>
        <w:t>preciseTAD</w:t>
      </w:r>
      <w:r>
        <w:rPr>
          <w:b/>
        </w:rPr>
        <w:t xml:space="preserve"> boundaries are enriched for known molecular drivers of 3D chromatin.</w:t>
      </w:r>
      <w:r>
        <w:t xml:space="preserve"> Signal profile plots compar</w:t>
      </w:r>
      <w:r>
        <w:t xml:space="preserve">ing the binding strength of top TFBSs around flanked (A) Arrowhead called TAD boundaries (blue) and </w:t>
      </w:r>
      <w:r>
        <w:rPr>
          <w:i/>
        </w:rPr>
        <w:t>preciseTAD</w:t>
      </w:r>
      <w:r>
        <w:t xml:space="preserve">-predicted TAD boundaries (green) on K562, (B) Peakachu chromatin loop boundaries (red) and </w:t>
      </w:r>
      <w:r>
        <w:rPr>
          <w:i/>
        </w:rPr>
        <w:t>preciseTAD</w:t>
      </w:r>
      <w:r>
        <w:t xml:space="preserve"> predicted loop boundaries (green) on K562, </w:t>
      </w:r>
      <w:r>
        <w:t>(C) Arrowhead called TAD boundaries (blue), Peakachu chromatin loop boundaries (red), and SpectralTAD called TAD boundaries (green) on GM12878 and (D) on K562.</w:t>
      </w:r>
    </w:p>
    <w:p w14:paraId="71020FD4" w14:textId="77777777" w:rsidR="00275611" w:rsidRDefault="00935B27">
      <w:pPr>
        <w:pStyle w:val="BodyText"/>
      </w:pPr>
      <w:r>
        <w:rPr>
          <w:b/>
        </w:rPr>
        <w:t xml:space="preserve">Figure S6. </w:t>
      </w:r>
      <w:r>
        <w:rPr>
          <w:b/>
          <w:i/>
        </w:rPr>
        <w:t>preciseTAD</w:t>
      </w:r>
      <w:r>
        <w:rPr>
          <w:b/>
        </w:rPr>
        <w:t xml:space="preserve"> boundaries are more enriched for known molecular drivers of 3D chromatin, </w:t>
      </w:r>
      <w:r>
        <w:rPr>
          <w:b/>
        </w:rPr>
        <w:t>as compared with Arrowhead boundaries.</w:t>
      </w:r>
      <w:r>
        <w:t xml:space="preserve"> Enrichment heatmaps comparing the signal distribution ofCTCF, RAD21, SMC3, and ZNF143 around Arrowhead-called TAD boundaries vs. </w:t>
      </w:r>
      <w:r>
        <w:rPr>
          <w:i/>
        </w:rPr>
        <w:t>preciseTAD</w:t>
      </w:r>
      <w:r>
        <w:t>-predicted TAD boundaries for (A) GM12878 and (B) K562 cell lines.</w:t>
      </w:r>
    </w:p>
    <w:p w14:paraId="77263E49" w14:textId="77777777" w:rsidR="00275611" w:rsidRDefault="00935B27">
      <w:pPr>
        <w:pStyle w:val="BodyText"/>
      </w:pPr>
      <w:r>
        <w:rPr>
          <w:b/>
        </w:rPr>
        <w:lastRenderedPageBreak/>
        <w:t xml:space="preserve">Figure S7. </w:t>
      </w:r>
      <w:r>
        <w:rPr>
          <w:b/>
          <w:i/>
        </w:rPr>
        <w:t>preciseTAD</w:t>
      </w:r>
      <w:r>
        <w:rPr>
          <w:b/>
        </w:rPr>
        <w:t xml:space="preserve"> boundaries are more enriched for known molecular drivers of 3D chromatin, as compared with Peakachu boundaries.</w:t>
      </w:r>
      <w:r>
        <w:t xml:space="preserve"> Enrichment heatmaps comparing the signal distribution ofCTCF, RAD21, SMC3, and ZNF143 around Peakachu chromatin loop boundaries vs. </w:t>
      </w:r>
      <w:r>
        <w:rPr>
          <w:i/>
        </w:rPr>
        <w:t>p</w:t>
      </w:r>
      <w:r>
        <w:rPr>
          <w:i/>
        </w:rPr>
        <w:t>reciseTAD</w:t>
      </w:r>
      <w:r>
        <w:t>-predicted TAD boundaries for (A) GM12878 and (B) K562 cell lines.</w:t>
      </w:r>
    </w:p>
    <w:p w14:paraId="1130638B" w14:textId="77777777" w:rsidR="00275611" w:rsidRDefault="00935B27">
      <w:pPr>
        <w:pStyle w:val="BodyText"/>
      </w:pPr>
      <w:r>
        <w:rPr>
          <w:b/>
        </w:rPr>
        <w:t xml:space="preserve">Figure S8. </w:t>
      </w:r>
      <w:r>
        <w:rPr>
          <w:b/>
          <w:i/>
        </w:rPr>
        <w:t>preciseTAD</w:t>
      </w:r>
      <w:r>
        <w:rPr>
          <w:b/>
        </w:rPr>
        <w:t xml:space="preserve"> boundaries are spatially closer to known molecular drivers of 3D chromatin.</w:t>
      </w:r>
      <w:r>
        <w:t xml:space="preserve"> Boxplots comparing the log2 genomic distance distributions from predicted and call</w:t>
      </w:r>
      <w:r>
        <w:t>ed boundaries to the nearest (A) GM12878-specific and (B) K562-specific CTCF, RAD21, SMC3, and ZNF143 transcription factor binding sites. p-values are derived from the Wilcoxon Rank Sum test.</w:t>
      </w:r>
    </w:p>
    <w:p w14:paraId="08678A11" w14:textId="77777777" w:rsidR="00275611" w:rsidRDefault="00935B27">
      <w:pPr>
        <w:pStyle w:val="BodyText"/>
      </w:pPr>
      <w:r>
        <w:rPr>
          <w:b/>
        </w:rPr>
        <w:t xml:space="preserve">Figure S9. The agreement between </w:t>
      </w:r>
      <w:r>
        <w:rPr>
          <w:b/>
          <w:i/>
        </w:rPr>
        <w:t>preciseTAD</w:t>
      </w:r>
      <w:r>
        <w:rPr>
          <w:b/>
        </w:rPr>
        <w:t>-predicted boundaries</w:t>
      </w:r>
      <w:r>
        <w:rPr>
          <w:b/>
        </w:rPr>
        <w:t xml:space="preserve"> using Arrowhead- and Peakachu-trained models.</w:t>
      </w:r>
      <w:r>
        <w:t xml:space="preserve"> Venn diagrams of boundary overlaps using (A) GM12878 and (B) K562 data. Boundaries involving Arrowhead/Peakachu were flanked by 5 kb/10 kb, respectively.</w:t>
      </w:r>
    </w:p>
    <w:p w14:paraId="072854FE" w14:textId="77777777" w:rsidR="00275611" w:rsidRDefault="00935B27">
      <w:pPr>
        <w:pStyle w:val="BodyText"/>
      </w:pPr>
      <w:r>
        <w:rPr>
          <w:b/>
        </w:rPr>
        <w:t xml:space="preserve">Figure S10. Pre-trained </w:t>
      </w:r>
      <w:r>
        <w:rPr>
          <w:b/>
          <w:i/>
        </w:rPr>
        <w:t>preciseTAD</w:t>
      </w:r>
      <w:r>
        <w:rPr>
          <w:b/>
        </w:rPr>
        <w:t xml:space="preserve"> models accurately pr</w:t>
      </w:r>
      <w:r>
        <w:rPr>
          <w:b/>
        </w:rPr>
        <w:t>edict boundaries on cell lines using annotation data only.</w:t>
      </w:r>
      <w:r>
        <w:t xml:space="preserve"> Venn diagrams and signal profile plots comparing flanked predicted boundaries using Arrowhead (A, B) and Peakachu (C, D) trained models. (A, C) train on GM12878 and predict on GM12878 (red, GM on G</w:t>
      </w:r>
      <w:r>
        <w:t>M) vs. train on K562 and predict on GM12878 (blue, K on GM), (B, D) train on K562 predict on K562 (red, K on K) vs. train on GM12878 predict on K562 (blue, GM on K). Boundaries involving Arrowhead/Peakachu were flanked by 5 kb/10 kb, respectively.</w:t>
      </w:r>
    </w:p>
    <w:p w14:paraId="31514B32" w14:textId="77777777" w:rsidR="00275611" w:rsidRDefault="00935B27">
      <w:pPr>
        <w:pStyle w:val="BodyText"/>
      </w:pPr>
      <w:r>
        <w:rPr>
          <w:b/>
        </w:rPr>
        <w:t>Table S5</w:t>
      </w:r>
      <w:r>
        <w:rPr>
          <w:b/>
        </w:rPr>
        <w:t>.</w:t>
      </w:r>
      <w:r>
        <w:t xml:space="preserve"> Additional performance metrics when implementing a random forest using Arrowhead/Peakachu ground truth TAD/loop boundaries. Performances are averaged across each holdout chromosome that was reserved for testing.</w:t>
      </w:r>
    </w:p>
    <w:p w14:paraId="16BE9C7A" w14:textId="77777777" w:rsidR="00275611" w:rsidRDefault="00935B27">
      <w:pPr>
        <w:pStyle w:val="BodyText"/>
      </w:pPr>
      <w:r>
        <w:rPr>
          <w:b/>
        </w:rPr>
        <w:lastRenderedPageBreak/>
        <w:t>Figure S11. Normalized Enrichment levels s</w:t>
      </w:r>
      <w:r>
        <w:rPr>
          <w:b/>
        </w:rPr>
        <w:t xml:space="preserve">uggest t=1.0 and </w:t>
      </w:r>
      <m:oMath>
        <m:r>
          <w:rPr>
            <w:rFonts w:ascii="Cambria Math" w:hAnsi="Cambria Math"/>
          </w:rPr>
          <m:t>ϵ</m:t>
        </m:r>
      </m:oMath>
      <w:r>
        <w:rPr>
          <w:b/>
        </w:rPr>
        <w:t xml:space="preserve">=10000 as the most optimal parameters for biologically relevant </w:t>
      </w:r>
      <w:r>
        <w:rPr>
          <w:b/>
          <w:i/>
        </w:rPr>
        <w:t>preciseTAD</w:t>
      </w:r>
      <w:r>
        <w:rPr>
          <w:b/>
        </w:rPr>
        <w:t>-predicted boundaries.</w:t>
      </w:r>
      <w:r>
        <w:t xml:space="preserve"> Linecharts illustrating the normalized enrichment (NE) between CTCF, RAD21, SMC3, ZNF143 and resolution-flanked </w:t>
      </w:r>
      <w:r>
        <w:rPr>
          <w:i/>
        </w:rPr>
        <w:t>preciseTAD</w:t>
      </w:r>
      <w:r>
        <w:t>-predicted boundar</w:t>
      </w:r>
      <w:r>
        <w:t>ies for different combinations of thresholds (t) and epsilon parameter values (eps). NE was calculated as the total number of ChIP-seq peaks that overlapped within a given flanked boundary, divided by the number of boundaries that were predicted, and avera</w:t>
      </w:r>
      <w:r>
        <w:t>ged over the number of annotations included in the model. Data from GM12878 (A) and K562 (B) cell lines, chromosome 22, at 5kb resolution was used. Error bars indicate standard deviation from the mean.</w:t>
      </w:r>
    </w:p>
    <w:p w14:paraId="2985A999" w14:textId="77777777" w:rsidR="00275611" w:rsidRDefault="00935B27">
      <w:pPr>
        <w:pStyle w:val="Heading1"/>
      </w:pPr>
      <w:bookmarkStart w:id="26" w:name="declarations"/>
      <w:r>
        <w:t>Declarations</w:t>
      </w:r>
      <w:bookmarkEnd w:id="26"/>
    </w:p>
    <w:p w14:paraId="07C80BAE" w14:textId="77777777" w:rsidR="00275611" w:rsidRDefault="00935B27">
      <w:pPr>
        <w:pStyle w:val="Heading2"/>
      </w:pPr>
      <w:bookmarkStart w:id="27" w:name="Xd182db0490b2de20bd2b4e4cc8698599182035f"/>
      <w:r>
        <w:t>Ethics approval and consent to participat</w:t>
      </w:r>
      <w:r>
        <w:t>e</w:t>
      </w:r>
      <w:bookmarkEnd w:id="27"/>
    </w:p>
    <w:p w14:paraId="2074D56D" w14:textId="77777777" w:rsidR="00275611" w:rsidRDefault="00935B27">
      <w:pPr>
        <w:pStyle w:val="FirstParagraph"/>
      </w:pPr>
      <w:r>
        <w:t>Not applicable</w:t>
      </w:r>
    </w:p>
    <w:p w14:paraId="3D2C6774" w14:textId="77777777" w:rsidR="00275611" w:rsidRDefault="00935B27">
      <w:pPr>
        <w:pStyle w:val="Heading2"/>
      </w:pPr>
      <w:bookmarkStart w:id="28" w:name="consent-for-publication"/>
      <w:r>
        <w:t>Consent for publication</w:t>
      </w:r>
      <w:bookmarkEnd w:id="28"/>
    </w:p>
    <w:p w14:paraId="6B899119" w14:textId="77777777" w:rsidR="00275611" w:rsidRDefault="00935B27">
      <w:pPr>
        <w:pStyle w:val="FirstParagraph"/>
      </w:pPr>
      <w:r>
        <w:t>Not applicable</w:t>
      </w:r>
    </w:p>
    <w:p w14:paraId="1790629F" w14:textId="77777777" w:rsidR="00275611" w:rsidRDefault="00935B27">
      <w:pPr>
        <w:pStyle w:val="Heading2"/>
      </w:pPr>
      <w:bookmarkStart w:id="29" w:name="availability-of-data-and-materials"/>
      <w:r>
        <w:t>Availability of data and materials</w:t>
      </w:r>
      <w:bookmarkEnd w:id="29"/>
    </w:p>
    <w:p w14:paraId="19242F07" w14:textId="77777777" w:rsidR="00275611" w:rsidRDefault="00935B27">
      <w:pPr>
        <w:pStyle w:val="FirstParagraph"/>
      </w:pPr>
      <w:r>
        <w:t xml:space="preserve">All data generated or analyzed during this study are included in this published article [and its supplementary information files]. The source code of </w:t>
      </w:r>
      <w:r>
        <w:rPr>
          <w:i/>
        </w:rPr>
        <w:t>preciseTAD</w:t>
      </w:r>
      <w:r>
        <w:t xml:space="preserve"> version 0.99.6 used in the experiments is available on github at </w:t>
      </w:r>
      <w:hyperlink r:id="rId12">
        <w:r>
          <w:rPr>
            <w:rStyle w:val="Hyperlink"/>
          </w:rPr>
          <w:t>https://github.com/dozmorovlab/preciseTAD</w:t>
        </w:r>
      </w:hyperlink>
      <w:r>
        <w:t>.</w:t>
      </w:r>
    </w:p>
    <w:p w14:paraId="1C2CDB0A" w14:textId="77777777" w:rsidR="00275611" w:rsidRDefault="00935B27">
      <w:pPr>
        <w:pStyle w:val="Heading2"/>
      </w:pPr>
      <w:bookmarkStart w:id="30" w:name="competing-interests"/>
      <w:r>
        <w:t>Competing interests</w:t>
      </w:r>
      <w:bookmarkEnd w:id="30"/>
    </w:p>
    <w:p w14:paraId="7FDBCAA6" w14:textId="77777777" w:rsidR="00275611" w:rsidRDefault="00935B27">
      <w:pPr>
        <w:pStyle w:val="FirstParagraph"/>
      </w:pPr>
      <w:r>
        <w:t>The authors declare that they have no competing interests.</w:t>
      </w:r>
    </w:p>
    <w:p w14:paraId="2DFA2F1A" w14:textId="77777777" w:rsidR="00275611" w:rsidRDefault="00935B27">
      <w:pPr>
        <w:pStyle w:val="Heading2"/>
      </w:pPr>
      <w:bookmarkStart w:id="31" w:name="funding"/>
      <w:r>
        <w:lastRenderedPageBreak/>
        <w:t>Funding</w:t>
      </w:r>
      <w:bookmarkEnd w:id="31"/>
    </w:p>
    <w:p w14:paraId="71EDC864" w14:textId="77777777" w:rsidR="00275611" w:rsidRDefault="00935B27">
      <w:pPr>
        <w:pStyle w:val="Heading2"/>
      </w:pPr>
      <w:bookmarkStart w:id="32" w:name="authors-contributions"/>
      <w:r>
        <w:t>Authors’ contributions</w:t>
      </w:r>
      <w:bookmarkEnd w:id="32"/>
    </w:p>
    <w:p w14:paraId="4A2D9D43" w14:textId="77777777" w:rsidR="00275611" w:rsidRDefault="00935B27">
      <w:pPr>
        <w:pStyle w:val="FirstParagraph"/>
      </w:pPr>
      <w:r>
        <w:t>MD conceptualized and supervised the study. MD and SS wrote the manuscri</w:t>
      </w:r>
      <w:r>
        <w:t>pt. SS and MD wrote the software associated with the R package. SS performed the analysis for the final results. The authors read and approved the final manuscript.</w:t>
      </w:r>
    </w:p>
    <w:p w14:paraId="52F6F3C6" w14:textId="77777777" w:rsidR="00275611" w:rsidRDefault="00935B27">
      <w:pPr>
        <w:pStyle w:val="Heading2"/>
      </w:pPr>
      <w:bookmarkStart w:id="33" w:name="acknowledgements"/>
      <w:r>
        <w:t>Acknowledgements</w:t>
      </w:r>
      <w:bookmarkEnd w:id="33"/>
    </w:p>
    <w:p w14:paraId="66F2C400" w14:textId="77777777" w:rsidR="00275611" w:rsidRDefault="00935B27">
      <w:pPr>
        <w:pStyle w:val="Heading1"/>
      </w:pPr>
      <w:bookmarkStart w:id="34" w:name="references"/>
      <w:r>
        <w:t>References</w:t>
      </w:r>
      <w:bookmarkEnd w:id="34"/>
    </w:p>
    <w:p w14:paraId="0A56225F" w14:textId="77777777" w:rsidR="00275611" w:rsidRDefault="00935B27">
      <w:pPr>
        <w:pStyle w:val="Bibliography"/>
      </w:pPr>
      <w:bookmarkStart w:id="35" w:name="ref-rao20143d"/>
      <w:bookmarkStart w:id="36" w:name="refs"/>
      <w:r>
        <w:t>1. Rao SS, Huntley MH, Durand NC, Stamenova EK, Bochkov ID, Rob</w:t>
      </w:r>
      <w:r>
        <w:t xml:space="preserve">inson JT, Sanborn AL, Machol I, Omer AD, Lander ES, others: </w:t>
      </w:r>
      <w:r>
        <w:rPr>
          <w:b/>
        </w:rPr>
        <w:t>A 3D map of the human genome at kilobase resolution reveals principles of chromatin looping</w:t>
      </w:r>
      <w:r>
        <w:t xml:space="preserve">. </w:t>
      </w:r>
      <w:r>
        <w:rPr>
          <w:i/>
        </w:rPr>
        <w:t>Cell</w:t>
      </w:r>
      <w:r>
        <w:t xml:space="preserve"> 2014, </w:t>
      </w:r>
      <w:r>
        <w:rPr>
          <w:b/>
        </w:rPr>
        <w:t>159</w:t>
      </w:r>
      <w:r>
        <w:t>:1665–1680.</w:t>
      </w:r>
    </w:p>
    <w:p w14:paraId="25715F58" w14:textId="77777777" w:rsidR="00275611" w:rsidRDefault="00935B27">
      <w:pPr>
        <w:pStyle w:val="Bibliography"/>
      </w:pPr>
      <w:bookmarkStart w:id="37" w:name="ref-nora2012spatial"/>
      <w:bookmarkEnd w:id="35"/>
      <w:r>
        <w:t>2. Nora EP, Lajoie BR, Schulz EG, Giorgetti L, Okamoto I, Servant N, Piolot T</w:t>
      </w:r>
      <w:r>
        <w:t xml:space="preserve">, Berkum NL van, Meisig J, Sedat J, others: </w:t>
      </w:r>
      <w:r>
        <w:rPr>
          <w:b/>
        </w:rPr>
        <w:t>Spatial partitioning of the regulatory landscape of the x-inactivation centre</w:t>
      </w:r>
      <w:r>
        <w:t xml:space="preserve">. </w:t>
      </w:r>
      <w:r>
        <w:rPr>
          <w:i/>
        </w:rPr>
        <w:t>Nature</w:t>
      </w:r>
      <w:r>
        <w:t xml:space="preserve"> 2012, </w:t>
      </w:r>
      <w:r>
        <w:rPr>
          <w:b/>
        </w:rPr>
        <w:t>485</w:t>
      </w:r>
      <w:r>
        <w:t>:381.</w:t>
      </w:r>
    </w:p>
    <w:p w14:paraId="09637BBA" w14:textId="77777777" w:rsidR="00275611" w:rsidRDefault="00935B27">
      <w:pPr>
        <w:pStyle w:val="Bibliography"/>
      </w:pPr>
      <w:bookmarkStart w:id="38" w:name="ref-dixon2012topological"/>
      <w:bookmarkEnd w:id="37"/>
      <w:r>
        <w:t xml:space="preserve">3. Dixon JR, Selvaraj S, Yue F, Kim A, Li Y, Shen Y, Hu M, Liu JS, Ren B: </w:t>
      </w:r>
      <w:r>
        <w:rPr>
          <w:b/>
        </w:rPr>
        <w:t>Topological domains in mammalian genomes identified by analysis of chromatin interactions</w:t>
      </w:r>
      <w:r>
        <w:t xml:space="preserve">. </w:t>
      </w:r>
      <w:r>
        <w:rPr>
          <w:i/>
        </w:rPr>
        <w:t>Nature</w:t>
      </w:r>
      <w:r>
        <w:t xml:space="preserve"> 2012, </w:t>
      </w:r>
      <w:r>
        <w:rPr>
          <w:b/>
        </w:rPr>
        <w:t>485</w:t>
      </w:r>
      <w:r>
        <w:t>:376.</w:t>
      </w:r>
    </w:p>
    <w:p w14:paraId="488E505B" w14:textId="77777777" w:rsidR="00275611" w:rsidRDefault="00935B27">
      <w:pPr>
        <w:pStyle w:val="Bibliography"/>
      </w:pPr>
      <w:bookmarkStart w:id="39" w:name="ref-lieberman2009comprehensive"/>
      <w:bookmarkEnd w:id="38"/>
      <w:r>
        <w:t>4. Lieberman-Aiden E, Van Berkum NL, Williams L, Imakaev M, Ragoczy T</w:t>
      </w:r>
      <w:r>
        <w:t xml:space="preserve">, Telling A, Amit I, Lajoie BR, Sabo PJ, Dorschner MO, others: </w:t>
      </w:r>
      <w:r>
        <w:rPr>
          <w:b/>
        </w:rPr>
        <w:t>Comprehensive mapping of long-range interactions reveals folding principles of the human genome</w:t>
      </w:r>
      <w:r>
        <w:t xml:space="preserve">. </w:t>
      </w:r>
      <w:r>
        <w:rPr>
          <w:i/>
        </w:rPr>
        <w:t>science</w:t>
      </w:r>
      <w:r>
        <w:t xml:space="preserve"> 2009, </w:t>
      </w:r>
      <w:r>
        <w:rPr>
          <w:b/>
        </w:rPr>
        <w:t>326</w:t>
      </w:r>
      <w:r>
        <w:t>:289–293.</w:t>
      </w:r>
    </w:p>
    <w:p w14:paraId="16AD9F55" w14:textId="77777777" w:rsidR="00275611" w:rsidRDefault="00935B27">
      <w:pPr>
        <w:pStyle w:val="Bibliography"/>
      </w:pPr>
      <w:bookmarkStart w:id="40" w:name="ref-Lupianez:2015aa"/>
      <w:bookmarkEnd w:id="39"/>
      <w:r>
        <w:t xml:space="preserve">5. Lupiáñez DG, Kraft K, Heinrich V, Krawitz P, Brancati F, Klopocki </w:t>
      </w:r>
      <w:r>
        <w:t xml:space="preserve">E, Horn D, Kayserili H, Opitz JM, Laxova R, Santos-Simarro F, Gilbert-Dussardier B, Wittler L, Borschiwer M, Haas SA, Osterwalder M, Franke M, Timmermann B, Hecht J, Spielmann M, Visel A, Mundlos S: </w:t>
      </w:r>
      <w:r>
        <w:rPr>
          <w:b/>
        </w:rPr>
        <w:lastRenderedPageBreak/>
        <w:t>Disruptions of topological chromatin domains cause pathog</w:t>
      </w:r>
      <w:r>
        <w:rPr>
          <w:b/>
        </w:rPr>
        <w:t>enic rewiring of gene-enhancer interactions</w:t>
      </w:r>
      <w:r>
        <w:t xml:space="preserve">. </w:t>
      </w:r>
      <w:r>
        <w:rPr>
          <w:i/>
        </w:rPr>
        <w:t>Cell</w:t>
      </w:r>
      <w:r>
        <w:t xml:space="preserve"> 2015, </w:t>
      </w:r>
      <w:r>
        <w:rPr>
          <w:b/>
        </w:rPr>
        <w:t>161</w:t>
      </w:r>
      <w:r>
        <w:t>:1012–1025</w:t>
      </w:r>
      <w:hyperlink r:id="rId13">
        <w:r>
          <w:rPr>
            <w:rStyle w:val="Hyperlink"/>
          </w:rPr>
          <w:t>10.1016/j.cell.2015.04.004</w:t>
        </w:r>
      </w:hyperlink>
      <w:r>
        <w:t>.</w:t>
      </w:r>
    </w:p>
    <w:p w14:paraId="1DC6456A" w14:textId="77777777" w:rsidR="00275611" w:rsidRDefault="00935B27">
      <w:pPr>
        <w:pStyle w:val="Bibliography"/>
      </w:pPr>
      <w:bookmarkStart w:id="41" w:name="ref-Franke:2016aa"/>
      <w:bookmarkEnd w:id="40"/>
      <w:r>
        <w:t>6. Franke M, Ibrahim DM, Andrey G, Schwarzer W, Heinrich V, Schöpflin R, Kraft K, Kempfer R, Jerk</w:t>
      </w:r>
      <w:r>
        <w:t xml:space="preserve">ović I, Chan W-L, Spielmann M, Timmermann B, Wittler L, Kurth I, Cambiaso P, Zuffardi O, Houge G, Lambie L, Brancati F, Pombo A, Vingron M, Spitz F, Mundlos S: </w:t>
      </w:r>
      <w:r>
        <w:rPr>
          <w:b/>
        </w:rPr>
        <w:t>Formation of new chromatin domains determines pathogenicity of genomic duplications</w:t>
      </w:r>
      <w:r>
        <w:t xml:space="preserve">. </w:t>
      </w:r>
      <w:r>
        <w:rPr>
          <w:i/>
        </w:rPr>
        <w:t>Nature</w:t>
      </w:r>
      <w:r>
        <w:t xml:space="preserve"> 2016</w:t>
      </w:r>
      <w:r>
        <w:t xml:space="preserve">, </w:t>
      </w:r>
      <w:r>
        <w:rPr>
          <w:b/>
        </w:rPr>
        <w:t>538</w:t>
      </w:r>
      <w:r>
        <w:t>:265–269</w:t>
      </w:r>
      <w:hyperlink r:id="rId14">
        <w:r>
          <w:rPr>
            <w:rStyle w:val="Hyperlink"/>
          </w:rPr>
          <w:t>10.1038/nature19800</w:t>
        </w:r>
      </w:hyperlink>
      <w:r>
        <w:t>.</w:t>
      </w:r>
    </w:p>
    <w:p w14:paraId="5A61BC90" w14:textId="77777777" w:rsidR="00275611" w:rsidRDefault="00935B27">
      <w:pPr>
        <w:pStyle w:val="Bibliography"/>
      </w:pPr>
      <w:bookmarkStart w:id="42" w:name="ref-hnisz2016activation"/>
      <w:bookmarkEnd w:id="41"/>
      <w:r>
        <w:t xml:space="preserve">7. Hnisz D, Weintraub AS, Day DS, Valton A-L, Bak RO, Li CH, Goldmann J, Lajoie BR, Fan ZP, Sigova AA, others: </w:t>
      </w:r>
      <w:r>
        <w:rPr>
          <w:b/>
        </w:rPr>
        <w:t>Activation of proto-oncogenes by disruption of chromosom</w:t>
      </w:r>
      <w:r>
        <w:rPr>
          <w:b/>
        </w:rPr>
        <w:t>e neighborhoods</w:t>
      </w:r>
      <w:r>
        <w:t xml:space="preserve">. </w:t>
      </w:r>
      <w:r>
        <w:rPr>
          <w:i/>
        </w:rPr>
        <w:t>Science</w:t>
      </w:r>
      <w:r>
        <w:t xml:space="preserve"> 2016, </w:t>
      </w:r>
      <w:r>
        <w:rPr>
          <w:b/>
        </w:rPr>
        <w:t>351</w:t>
      </w:r>
      <w:r>
        <w:t>:1454–1458.</w:t>
      </w:r>
    </w:p>
    <w:p w14:paraId="728BBDF8" w14:textId="77777777" w:rsidR="00275611" w:rsidRDefault="00935B27">
      <w:pPr>
        <w:pStyle w:val="Bibliography"/>
      </w:pPr>
      <w:bookmarkStart w:id="43" w:name="ref-taberlay2016three"/>
      <w:bookmarkEnd w:id="42"/>
      <w:r>
        <w:t xml:space="preserve">8. Taberlay PC, Achinger-Kawecka J, Lun AT, Buske FA, Sabir K, Gould CM, Zotenko E, Bert SA, Giles KA, Bauer DC, others: </w:t>
      </w:r>
      <w:r>
        <w:rPr>
          <w:b/>
        </w:rPr>
        <w:t xml:space="preserve">Three-dimensional disorganization of the cancer genome occurs coincident with long-range </w:t>
      </w:r>
      <w:r>
        <w:rPr>
          <w:b/>
        </w:rPr>
        <w:t>genetic and epigenetic alterations</w:t>
      </w:r>
      <w:r>
        <w:t xml:space="preserve">. </w:t>
      </w:r>
      <w:r>
        <w:rPr>
          <w:i/>
        </w:rPr>
        <w:t>Genome research</w:t>
      </w:r>
      <w:r>
        <w:t xml:space="preserve"> 2016, </w:t>
      </w:r>
      <w:r>
        <w:rPr>
          <w:b/>
        </w:rPr>
        <w:t>26</w:t>
      </w:r>
      <w:r>
        <w:t>:719–731.</w:t>
      </w:r>
    </w:p>
    <w:p w14:paraId="7603D53E" w14:textId="77777777" w:rsidR="00275611" w:rsidRDefault="00935B27">
      <w:pPr>
        <w:pStyle w:val="Bibliography"/>
      </w:pPr>
      <w:bookmarkStart w:id="44" w:name="ref-lupianez2016breaking"/>
      <w:bookmarkEnd w:id="43"/>
      <w:r>
        <w:t xml:space="preserve">9. Lupiáñez DG, Spielmann M, Mundlos S: </w:t>
      </w:r>
      <w:r>
        <w:rPr>
          <w:b/>
        </w:rPr>
        <w:t>Breaking tads: How alterations of chromatin domains result in disease</w:t>
      </w:r>
      <w:r>
        <w:t xml:space="preserve">. </w:t>
      </w:r>
      <w:r>
        <w:rPr>
          <w:i/>
        </w:rPr>
        <w:t>Trends in Genetics</w:t>
      </w:r>
      <w:r>
        <w:t xml:space="preserve"> 2016, </w:t>
      </w:r>
      <w:r>
        <w:rPr>
          <w:b/>
        </w:rPr>
        <w:t>32</w:t>
      </w:r>
      <w:r>
        <w:t>:225–237.</w:t>
      </w:r>
    </w:p>
    <w:p w14:paraId="0C1898FF" w14:textId="77777777" w:rsidR="00275611" w:rsidRDefault="00935B27">
      <w:pPr>
        <w:pStyle w:val="Bibliography"/>
      </w:pPr>
      <w:bookmarkStart w:id="45" w:name="ref-Sun:2018aa"/>
      <w:bookmarkEnd w:id="44"/>
      <w:r>
        <w:t xml:space="preserve">10. Sun JH, Zhou L, Emerson DJ, Phyo SA, Titus KR, Gong W, Gilgenast TG, Beagan JA, Davidson BL, Tassone F, Phillips-Cremins JE: </w:t>
      </w:r>
      <w:r>
        <w:rPr>
          <w:b/>
        </w:rPr>
        <w:t>Disease-associated short tandem repeats co-localize with chromatin domain boundaries</w:t>
      </w:r>
      <w:r>
        <w:t xml:space="preserve">. </w:t>
      </w:r>
      <w:r>
        <w:rPr>
          <w:i/>
        </w:rPr>
        <w:t>Cell</w:t>
      </w:r>
      <w:r>
        <w:t xml:space="preserve"> 2018, </w:t>
      </w:r>
      <w:r>
        <w:rPr>
          <w:b/>
        </w:rPr>
        <w:t>175</w:t>
      </w:r>
      <w:r>
        <w:t>:224–238.e15</w:t>
      </w:r>
      <w:hyperlink r:id="rId15">
        <w:r>
          <w:rPr>
            <w:rStyle w:val="Hyperlink"/>
          </w:rPr>
          <w:t>10.1016/j.cell.2018.08.005</w:t>
        </w:r>
      </w:hyperlink>
      <w:r>
        <w:t>.</w:t>
      </w:r>
    </w:p>
    <w:p w14:paraId="26B230A7" w14:textId="77777777" w:rsidR="00275611" w:rsidRDefault="00935B27">
      <w:pPr>
        <w:pStyle w:val="Bibliography"/>
      </w:pPr>
      <w:bookmarkStart w:id="46" w:name="ref-Meaburn:2007aa"/>
      <w:bookmarkEnd w:id="45"/>
      <w:r>
        <w:t xml:space="preserve">11. Meaburn KJ, Cabuy E, Bonne G, Levy N, Morris GE, Novelli G, Kill IR, Bridger JM: </w:t>
      </w:r>
      <w:r>
        <w:rPr>
          <w:b/>
        </w:rPr>
        <w:t>Primary laminopathy fibroblasts display altered genome organization and apoptosis</w:t>
      </w:r>
      <w:r>
        <w:t xml:space="preserve">. </w:t>
      </w:r>
      <w:r>
        <w:rPr>
          <w:i/>
        </w:rPr>
        <w:t>Aging Cell</w:t>
      </w:r>
      <w:r>
        <w:t xml:space="preserve"> 20</w:t>
      </w:r>
      <w:r>
        <w:t xml:space="preserve">07, </w:t>
      </w:r>
      <w:r>
        <w:rPr>
          <w:b/>
        </w:rPr>
        <w:t>6</w:t>
      </w:r>
      <w:r>
        <w:t>:139–53</w:t>
      </w:r>
      <w:hyperlink r:id="rId16">
        <w:r>
          <w:rPr>
            <w:rStyle w:val="Hyperlink"/>
          </w:rPr>
          <w:t>10.1111/j.1474-9726.2007.00270.x</w:t>
        </w:r>
      </w:hyperlink>
      <w:r>
        <w:t>.</w:t>
      </w:r>
    </w:p>
    <w:p w14:paraId="1D012B1F" w14:textId="77777777" w:rsidR="00275611" w:rsidRDefault="00935B27">
      <w:pPr>
        <w:pStyle w:val="Bibliography"/>
      </w:pPr>
      <w:bookmarkStart w:id="47" w:name="ref-Zufferey:2018aa"/>
      <w:bookmarkEnd w:id="46"/>
      <w:r>
        <w:lastRenderedPageBreak/>
        <w:t xml:space="preserve">12. Zufferey M, Tavernari D, Oricchio E, Ciriello G: </w:t>
      </w:r>
      <w:r>
        <w:rPr>
          <w:b/>
        </w:rPr>
        <w:t>Comparison of computational methods for the identification of topologically associating d</w:t>
      </w:r>
      <w:r>
        <w:rPr>
          <w:b/>
        </w:rPr>
        <w:t>omains</w:t>
      </w:r>
      <w:r>
        <w:t xml:space="preserve">. </w:t>
      </w:r>
      <w:r>
        <w:rPr>
          <w:i/>
        </w:rPr>
        <w:t>Genome Biol</w:t>
      </w:r>
      <w:r>
        <w:t xml:space="preserve"> 2018, </w:t>
      </w:r>
      <w:r>
        <w:rPr>
          <w:b/>
        </w:rPr>
        <w:t>19</w:t>
      </w:r>
      <w:r>
        <w:t>:217</w:t>
      </w:r>
      <w:hyperlink r:id="rId17">
        <w:r>
          <w:rPr>
            <w:rStyle w:val="Hyperlink"/>
          </w:rPr>
          <w:t>10.1186/s13059-018-1596-9</w:t>
        </w:r>
      </w:hyperlink>
      <w:r>
        <w:t>.</w:t>
      </w:r>
    </w:p>
    <w:p w14:paraId="50DFFD6E" w14:textId="77777777" w:rsidR="00275611" w:rsidRDefault="00935B27">
      <w:pPr>
        <w:pStyle w:val="Bibliography"/>
      </w:pPr>
      <w:bookmarkStart w:id="48" w:name="ref-forcato2017comparison"/>
      <w:bookmarkEnd w:id="47"/>
      <w:r>
        <w:t xml:space="preserve">13. Forcato M, Nicoletti C, Pal K, Livi CM, Ferrari F, Bicciato S: </w:t>
      </w:r>
      <w:r>
        <w:rPr>
          <w:b/>
        </w:rPr>
        <w:t>Comparison of computational methods for hi-c data analysis</w:t>
      </w:r>
      <w:r>
        <w:t xml:space="preserve">. </w:t>
      </w:r>
      <w:r>
        <w:rPr>
          <w:i/>
        </w:rPr>
        <w:t>Nature me</w:t>
      </w:r>
      <w:r>
        <w:rPr>
          <w:i/>
        </w:rPr>
        <w:t>thods</w:t>
      </w:r>
      <w:r>
        <w:t xml:space="preserve"> 2017, </w:t>
      </w:r>
      <w:r>
        <w:rPr>
          <w:b/>
        </w:rPr>
        <w:t>14</w:t>
      </w:r>
      <w:r>
        <w:t>:679.</w:t>
      </w:r>
    </w:p>
    <w:p w14:paraId="3C0A5581" w14:textId="77777777" w:rsidR="00275611" w:rsidRDefault="00935B27">
      <w:pPr>
        <w:pStyle w:val="Bibliography"/>
      </w:pPr>
      <w:bookmarkStart w:id="49" w:name="ref-Ay:2014aa"/>
      <w:bookmarkEnd w:id="48"/>
      <w:r>
        <w:t xml:space="preserve">14. Ay F, Bailey TL, Noble WS: </w:t>
      </w:r>
      <w:r>
        <w:rPr>
          <w:b/>
        </w:rPr>
        <w:t>Statistical confidence estimation for hi-c data reveals regulatory chromatin contacts</w:t>
      </w:r>
      <w:r>
        <w:t xml:space="preserve">. </w:t>
      </w:r>
      <w:r>
        <w:rPr>
          <w:i/>
        </w:rPr>
        <w:t>Genome Res</w:t>
      </w:r>
      <w:r>
        <w:t xml:space="preserve"> 2014, </w:t>
      </w:r>
      <w:r>
        <w:rPr>
          <w:b/>
        </w:rPr>
        <w:t>24</w:t>
      </w:r>
      <w:r>
        <w:t>:999–1011</w:t>
      </w:r>
      <w:hyperlink r:id="rId18">
        <w:r>
          <w:rPr>
            <w:rStyle w:val="Hyperlink"/>
          </w:rPr>
          <w:t>10.1101/gr.160374.113</w:t>
        </w:r>
      </w:hyperlink>
      <w:r>
        <w:t>.</w:t>
      </w:r>
    </w:p>
    <w:p w14:paraId="737F08F5" w14:textId="77777777" w:rsidR="00275611" w:rsidRDefault="00935B27">
      <w:pPr>
        <w:pStyle w:val="Bibliography"/>
      </w:pPr>
      <w:bookmarkStart w:id="50" w:name="ref-Heinz:2010aa"/>
      <w:bookmarkEnd w:id="49"/>
      <w:r>
        <w:t xml:space="preserve">15. Heinz </w:t>
      </w:r>
      <w:r>
        <w:t xml:space="preserve">S, Benner C, Spann N, Bertolino E, Lin YC, Laslo P, Cheng JX, Murre C, Singh H, Glass CK: </w:t>
      </w:r>
      <w:r>
        <w:rPr>
          <w:b/>
        </w:rPr>
        <w:t>Simple combinations of lineage-determining transcription factors prime cis-regulatory elements required for macrophage and b cell identities</w:t>
      </w:r>
      <w:r>
        <w:t xml:space="preserve">. </w:t>
      </w:r>
      <w:r>
        <w:rPr>
          <w:i/>
        </w:rPr>
        <w:t>Mol Cell</w:t>
      </w:r>
      <w:r>
        <w:t xml:space="preserve"> 2010, </w:t>
      </w:r>
      <w:r>
        <w:rPr>
          <w:b/>
        </w:rPr>
        <w:t>38</w:t>
      </w:r>
      <w:r>
        <w:t>:576–89</w:t>
      </w:r>
      <w:hyperlink r:id="rId19">
        <w:r>
          <w:rPr>
            <w:rStyle w:val="Hyperlink"/>
          </w:rPr>
          <w:t>10.1016/j.molcel.2010.05.004</w:t>
        </w:r>
      </w:hyperlink>
      <w:r>
        <w:t>.</w:t>
      </w:r>
    </w:p>
    <w:p w14:paraId="6B8789B3" w14:textId="77777777" w:rsidR="00275611" w:rsidRDefault="00935B27">
      <w:pPr>
        <w:pStyle w:val="Bibliography"/>
      </w:pPr>
      <w:bookmarkStart w:id="51" w:name="ref-salameh2019supervised"/>
      <w:bookmarkEnd w:id="50"/>
      <w:r>
        <w:t xml:space="preserve">16. Salameh TJ, Wang X, Song F, Zhang B, Wright SM, Khunsriraksakul C, Yue F: </w:t>
      </w:r>
      <w:r>
        <w:rPr>
          <w:b/>
        </w:rPr>
        <w:t xml:space="preserve">A supervised learning framework for chromatin loop detection in genome-wide contact </w:t>
      </w:r>
      <w:r>
        <w:rPr>
          <w:b/>
        </w:rPr>
        <w:t>maps</w:t>
      </w:r>
      <w:r>
        <w:t xml:space="preserve">. </w:t>
      </w:r>
      <w:r>
        <w:rPr>
          <w:i/>
        </w:rPr>
        <w:t>bioRxiv</w:t>
      </w:r>
      <w:r>
        <w:t xml:space="preserve"> 2019,:739698.</w:t>
      </w:r>
    </w:p>
    <w:p w14:paraId="49BA8B0B" w14:textId="77777777" w:rsidR="00275611" w:rsidRDefault="00935B27">
      <w:pPr>
        <w:pStyle w:val="Bibliography"/>
      </w:pPr>
      <w:bookmarkStart w:id="52" w:name="ref-li2019comparison"/>
      <w:bookmarkEnd w:id="51"/>
      <w:r>
        <w:t xml:space="preserve">17. Li X, An Z, Zhang Z: </w:t>
      </w:r>
      <w:r>
        <w:rPr>
          <w:b/>
        </w:rPr>
        <w:t>Comparison of computational methods for 3D genome analysis at single-cell hi-c level</w:t>
      </w:r>
      <w:r>
        <w:t xml:space="preserve">. </w:t>
      </w:r>
      <w:r>
        <w:rPr>
          <w:i/>
        </w:rPr>
        <w:t>Methods</w:t>
      </w:r>
      <w:r>
        <w:t xml:space="preserve"> 2019,.</w:t>
      </w:r>
    </w:p>
    <w:p w14:paraId="1474F7F2" w14:textId="77777777" w:rsidR="00275611" w:rsidRDefault="00935B27">
      <w:pPr>
        <w:pStyle w:val="Bibliography"/>
      </w:pPr>
      <w:bookmarkStart w:id="53" w:name="ref-fudenberg2016formation"/>
      <w:bookmarkEnd w:id="52"/>
      <w:r>
        <w:t xml:space="preserve">18. Fudenberg G, Imakaev M, Lu C, Goloborodko A, Abdennur N, Mirny LA: </w:t>
      </w:r>
      <w:r>
        <w:rPr>
          <w:b/>
        </w:rPr>
        <w:t>Formation of chromosomal domains by loop extrusion</w:t>
      </w:r>
      <w:r>
        <w:t xml:space="preserve">. </w:t>
      </w:r>
      <w:r>
        <w:rPr>
          <w:i/>
        </w:rPr>
        <w:t>Cell reports</w:t>
      </w:r>
      <w:r>
        <w:t xml:space="preserve"> 2016, </w:t>
      </w:r>
      <w:r>
        <w:rPr>
          <w:b/>
        </w:rPr>
        <w:t>15</w:t>
      </w:r>
      <w:r>
        <w:t>:2038–2049.</w:t>
      </w:r>
    </w:p>
    <w:p w14:paraId="6658B54F" w14:textId="77777777" w:rsidR="00275611" w:rsidRDefault="00935B27">
      <w:pPr>
        <w:pStyle w:val="Bibliography"/>
      </w:pPr>
      <w:bookmarkStart w:id="54" w:name="ref-schmitt2016genome"/>
      <w:bookmarkEnd w:id="53"/>
      <w:r>
        <w:t xml:space="preserve">19. Schmitt AD, Hu M, Ren B: </w:t>
      </w:r>
      <w:r>
        <w:rPr>
          <w:b/>
        </w:rPr>
        <w:t>Genome-wide mapping and analysis of chromosome architecture</w:t>
      </w:r>
      <w:r>
        <w:t xml:space="preserve">. </w:t>
      </w:r>
      <w:r>
        <w:rPr>
          <w:i/>
        </w:rPr>
        <w:t>Nature rev</w:t>
      </w:r>
      <w:r>
        <w:rPr>
          <w:i/>
        </w:rPr>
        <w:t>iews Molecular cell biology</w:t>
      </w:r>
      <w:r>
        <w:t xml:space="preserve"> 2016, </w:t>
      </w:r>
      <w:r>
        <w:rPr>
          <w:b/>
        </w:rPr>
        <w:t>17</w:t>
      </w:r>
      <w:r>
        <w:t>:743.</w:t>
      </w:r>
    </w:p>
    <w:p w14:paraId="743092F4" w14:textId="77777777" w:rsidR="00275611" w:rsidRDefault="00935B27">
      <w:pPr>
        <w:pStyle w:val="Bibliography"/>
      </w:pPr>
      <w:bookmarkStart w:id="55" w:name="ref-hansen2018recent"/>
      <w:bookmarkEnd w:id="54"/>
      <w:r>
        <w:t xml:space="preserve">20. Hansen AS, Cattoglio C, Darzacq X, Tjian R: </w:t>
      </w:r>
      <w:r>
        <w:rPr>
          <w:b/>
        </w:rPr>
        <w:t>Recent evidence that tads and chromatin loops are dynamic structures</w:t>
      </w:r>
      <w:r>
        <w:t xml:space="preserve">. </w:t>
      </w:r>
      <w:r>
        <w:rPr>
          <w:i/>
        </w:rPr>
        <w:t>Nucleus</w:t>
      </w:r>
      <w:r>
        <w:t xml:space="preserve"> 2018, </w:t>
      </w:r>
      <w:r>
        <w:rPr>
          <w:b/>
        </w:rPr>
        <w:t>9</w:t>
      </w:r>
      <w:r>
        <w:t>:20–32.</w:t>
      </w:r>
    </w:p>
    <w:p w14:paraId="06829321" w14:textId="77777777" w:rsidR="00275611" w:rsidRDefault="00935B27">
      <w:pPr>
        <w:pStyle w:val="Bibliography"/>
      </w:pPr>
      <w:bookmarkStart w:id="56" w:name="ref-sanborn2015chromatin"/>
      <w:bookmarkEnd w:id="55"/>
      <w:r>
        <w:lastRenderedPageBreak/>
        <w:t>21. Sanborn AL, Rao SS, Huang S-C, Durand NC, Huntley MH, Jewett AI, Boch</w:t>
      </w:r>
      <w:r>
        <w:t xml:space="preserve">kov ID, Chinnappan D, Cutkosky A, Li J, others: </w:t>
      </w:r>
      <w:r>
        <w:rPr>
          <w:b/>
        </w:rPr>
        <w:t>Chromatin extrusion explains key features of loop and domain formation in wild-type and engineered genomes</w:t>
      </w:r>
      <w:r>
        <w:t xml:space="preserve">. </w:t>
      </w:r>
      <w:r>
        <w:rPr>
          <w:i/>
        </w:rPr>
        <w:t>Proceedings of the National Academy of Sciences</w:t>
      </w:r>
      <w:r>
        <w:t xml:space="preserve"> 2015, </w:t>
      </w:r>
      <w:r>
        <w:rPr>
          <w:b/>
        </w:rPr>
        <w:t>112</w:t>
      </w:r>
      <w:r>
        <w:t>:E6456–E6465.</w:t>
      </w:r>
    </w:p>
    <w:p w14:paraId="5A530F76" w14:textId="77777777" w:rsidR="00275611" w:rsidRDefault="00935B27">
      <w:pPr>
        <w:pStyle w:val="Bibliography"/>
      </w:pPr>
      <w:bookmarkStart w:id="57" w:name="ref-alipour2012self"/>
      <w:bookmarkEnd w:id="56"/>
      <w:r>
        <w:t xml:space="preserve">22. Alipour E, Marko JF: </w:t>
      </w:r>
      <w:r>
        <w:rPr>
          <w:b/>
        </w:rPr>
        <w:t>Self</w:t>
      </w:r>
      <w:r>
        <w:rPr>
          <w:b/>
        </w:rPr>
        <w:t>-organization of domain structures by dna-loop-extruding enzymes</w:t>
      </w:r>
      <w:r>
        <w:t xml:space="preserve">. </w:t>
      </w:r>
      <w:r>
        <w:rPr>
          <w:i/>
        </w:rPr>
        <w:t>Nucleic acids research</w:t>
      </w:r>
      <w:r>
        <w:t xml:space="preserve"> 2012, </w:t>
      </w:r>
      <w:r>
        <w:rPr>
          <w:b/>
        </w:rPr>
        <w:t>40</w:t>
      </w:r>
      <w:r>
        <w:t>:11202–11212.</w:t>
      </w:r>
    </w:p>
    <w:p w14:paraId="3F84FDBB" w14:textId="77777777" w:rsidR="00275611" w:rsidRDefault="00935B27">
      <w:pPr>
        <w:pStyle w:val="Bibliography"/>
      </w:pPr>
      <w:bookmarkStart w:id="58" w:name="ref-Mirny:2019aa"/>
      <w:bookmarkEnd w:id="57"/>
      <w:r>
        <w:t xml:space="preserve">23. Mirny LA, Imakaev M, Abdennur N: </w:t>
      </w:r>
      <w:r>
        <w:rPr>
          <w:b/>
        </w:rPr>
        <w:t>Two major mechanisms of chromosome organization</w:t>
      </w:r>
      <w:r>
        <w:t xml:space="preserve">. </w:t>
      </w:r>
      <w:r>
        <w:rPr>
          <w:i/>
        </w:rPr>
        <w:t>Curr Opin Cell Biol</w:t>
      </w:r>
      <w:r>
        <w:t xml:space="preserve"> 2019, </w:t>
      </w:r>
      <w:r>
        <w:rPr>
          <w:b/>
        </w:rPr>
        <w:t>58</w:t>
      </w:r>
      <w:r>
        <w:t>:142–152</w:t>
      </w:r>
      <w:hyperlink r:id="rId20">
        <w:r>
          <w:rPr>
            <w:rStyle w:val="Hyperlink"/>
          </w:rPr>
          <w:t>10.1016/j.ceb.2019.05.001</w:t>
        </w:r>
      </w:hyperlink>
      <w:r>
        <w:t>.</w:t>
      </w:r>
    </w:p>
    <w:p w14:paraId="6C06BCEE" w14:textId="77777777" w:rsidR="00275611" w:rsidRDefault="00935B27">
      <w:pPr>
        <w:pStyle w:val="Bibliography"/>
      </w:pPr>
      <w:bookmarkStart w:id="59" w:name="ref-Davidson:2019aa"/>
      <w:bookmarkEnd w:id="58"/>
      <w:r>
        <w:t xml:space="preserve">24. Davidson IF, Bauer B, Goetz D, Tang W, Wutz G, Peters J-M: </w:t>
      </w:r>
      <w:r>
        <w:rPr>
          <w:b/>
        </w:rPr>
        <w:t>DNA loop extrusion by human cohesin</w:t>
      </w:r>
      <w:r>
        <w:t xml:space="preserve">. </w:t>
      </w:r>
      <w:r>
        <w:rPr>
          <w:i/>
        </w:rPr>
        <w:t>Science</w:t>
      </w:r>
      <w:r>
        <w:t xml:space="preserve"> 2019, </w:t>
      </w:r>
      <w:r>
        <w:rPr>
          <w:b/>
        </w:rPr>
        <w:t>366</w:t>
      </w:r>
      <w:r>
        <w:t>:1338–1345</w:t>
      </w:r>
      <w:hyperlink r:id="rId21">
        <w:r>
          <w:rPr>
            <w:rStyle w:val="Hyperlink"/>
          </w:rPr>
          <w:t>10.11</w:t>
        </w:r>
        <w:r>
          <w:rPr>
            <w:rStyle w:val="Hyperlink"/>
          </w:rPr>
          <w:t>26/science.aaz3418</w:t>
        </w:r>
      </w:hyperlink>
      <w:r>
        <w:t>.</w:t>
      </w:r>
    </w:p>
    <w:p w14:paraId="598AFA09" w14:textId="77777777" w:rsidR="00275611" w:rsidRDefault="00935B27">
      <w:pPr>
        <w:pStyle w:val="Bibliography"/>
      </w:pPr>
      <w:bookmarkStart w:id="60" w:name="ref-libbrecht2015joint"/>
      <w:bookmarkEnd w:id="59"/>
      <w:r>
        <w:t xml:space="preserve">25. Libbrecht MW, Ay F, Hoffman MM, Gilbert DM, Bilmes JA, Noble WS: </w:t>
      </w:r>
      <w:r>
        <w:rPr>
          <w:b/>
        </w:rPr>
        <w:t>Joint annotation of chromatin state and chromatin conformation reveals relationships among domain types and identifies domains of cell-type-specific expression</w:t>
      </w:r>
      <w:r>
        <w:t xml:space="preserve">. </w:t>
      </w:r>
      <w:r>
        <w:rPr>
          <w:i/>
        </w:rPr>
        <w:t>Genome</w:t>
      </w:r>
      <w:r>
        <w:rPr>
          <w:i/>
        </w:rPr>
        <w:t xml:space="preserve"> research</w:t>
      </w:r>
      <w:r>
        <w:t xml:space="preserve"> 2015, </w:t>
      </w:r>
      <w:r>
        <w:rPr>
          <w:b/>
        </w:rPr>
        <w:t>25</w:t>
      </w:r>
      <w:r>
        <w:t>:544–557.</w:t>
      </w:r>
    </w:p>
    <w:p w14:paraId="43A7039C" w14:textId="77777777" w:rsidR="00275611" w:rsidRDefault="00935B27">
      <w:pPr>
        <w:pStyle w:val="Bibliography"/>
      </w:pPr>
      <w:bookmarkStart w:id="61" w:name="ref-mendoza2009genome"/>
      <w:bookmarkEnd w:id="60"/>
      <w:r>
        <w:t xml:space="preserve">26. Mendoza-Vargas A, Olvera L, Olvera M, Grande R, Vega-Alvarado L, Taboada B, Jimenez-Jacinto V, Salgado H, Juárez K, Contreras-Moreira B, others: </w:t>
      </w:r>
      <w:r>
        <w:rPr>
          <w:b/>
        </w:rPr>
        <w:t>Genome-wide identification of transcription start sites, promoters and transcri</w:t>
      </w:r>
      <w:r>
        <w:rPr>
          <w:b/>
        </w:rPr>
        <w:t>ption factor binding sites in e. Coli</w:t>
      </w:r>
      <w:r>
        <w:t xml:space="preserve">. </w:t>
      </w:r>
      <w:r>
        <w:rPr>
          <w:i/>
        </w:rPr>
        <w:t>PLoS One</w:t>
      </w:r>
      <w:r>
        <w:t xml:space="preserve"> 2009, </w:t>
      </w:r>
      <w:r>
        <w:rPr>
          <w:b/>
        </w:rPr>
        <w:t>4</w:t>
      </w:r>
      <w:r>
        <w:t>:e7526.</w:t>
      </w:r>
    </w:p>
    <w:p w14:paraId="7942576D" w14:textId="77777777" w:rsidR="00275611" w:rsidRDefault="00935B27">
      <w:pPr>
        <w:pStyle w:val="Bibliography"/>
      </w:pPr>
      <w:bookmarkStart w:id="62" w:name="ref-bonev2017multiscale"/>
      <w:bookmarkEnd w:id="61"/>
      <w:r>
        <w:t xml:space="preserve">27. Bonev B, Cohen NM, Szabo Q, Fritsch L, Papadopoulos GL, Lubling Y, Xu X, Lv X, Hugnot J-P, Tanay A, others: </w:t>
      </w:r>
      <w:r>
        <w:rPr>
          <w:b/>
        </w:rPr>
        <w:t>Multiscale 3D genome rewiring during mouse neural development</w:t>
      </w:r>
      <w:r>
        <w:t xml:space="preserve">. </w:t>
      </w:r>
      <w:r>
        <w:rPr>
          <w:i/>
        </w:rPr>
        <w:t>Cell</w:t>
      </w:r>
      <w:r>
        <w:t xml:space="preserve"> 2017, </w:t>
      </w:r>
      <w:r>
        <w:rPr>
          <w:b/>
        </w:rPr>
        <w:t>171</w:t>
      </w:r>
      <w:r>
        <w:t>:557</w:t>
      </w:r>
      <w:r>
        <w:t>–572.</w:t>
      </w:r>
    </w:p>
    <w:p w14:paraId="0120F60D" w14:textId="77777777" w:rsidR="00275611" w:rsidRDefault="00935B27">
      <w:pPr>
        <w:pStyle w:val="Bibliography"/>
      </w:pPr>
      <w:bookmarkStart w:id="63" w:name="ref-boulesteix2012overview"/>
      <w:bookmarkEnd w:id="62"/>
      <w:r>
        <w:lastRenderedPageBreak/>
        <w:t xml:space="preserve">28. Boulesteix A-L, Janitza S, Kruppa J, König IR: </w:t>
      </w:r>
      <w:r>
        <w:rPr>
          <w:b/>
        </w:rPr>
        <w:t>Overview of random forest methodology and practical guidance with emphasis on computational biology and bioinformatics</w:t>
      </w:r>
      <w:r>
        <w:t xml:space="preserve">. </w:t>
      </w:r>
      <w:r>
        <w:rPr>
          <w:i/>
        </w:rPr>
        <w:t>Wiley Interdisciplinary Reviews: Data Mining and Knowledge Discovery</w:t>
      </w:r>
      <w:r>
        <w:t xml:space="preserve"> 2012, </w:t>
      </w:r>
      <w:r>
        <w:rPr>
          <w:b/>
        </w:rPr>
        <w:t>2</w:t>
      </w:r>
      <w:r>
        <w:t>:493–507.</w:t>
      </w:r>
    </w:p>
    <w:p w14:paraId="688BF12A" w14:textId="77777777" w:rsidR="00275611" w:rsidRDefault="00935B27">
      <w:pPr>
        <w:pStyle w:val="Bibliography"/>
      </w:pPr>
      <w:bookmarkStart w:id="64" w:name="ref-durand2016juicer"/>
      <w:bookmarkEnd w:id="63"/>
      <w:r>
        <w:t>29. Durand NC, Shamim MS, Machol I, Rao SS, Huntle</w:t>
      </w:r>
      <w:r>
        <w:t xml:space="preserve">y MH, Lander ES, Aiden EL: </w:t>
      </w:r>
      <w:r>
        <w:rPr>
          <w:b/>
        </w:rPr>
        <w:t>Juicer provides a one-click system for analyzing loop-resolution hi-c experiments</w:t>
      </w:r>
      <w:r>
        <w:t xml:space="preserve">. </w:t>
      </w:r>
      <w:r>
        <w:rPr>
          <w:i/>
        </w:rPr>
        <w:t>Cell systems</w:t>
      </w:r>
      <w:r>
        <w:t xml:space="preserve"> 2016, </w:t>
      </w:r>
      <w:r>
        <w:rPr>
          <w:b/>
        </w:rPr>
        <w:t>3</w:t>
      </w:r>
      <w:r>
        <w:t>:95–98.</w:t>
      </w:r>
    </w:p>
    <w:p w14:paraId="5BAFCB0C" w14:textId="77777777" w:rsidR="00275611" w:rsidRDefault="00935B27">
      <w:pPr>
        <w:pStyle w:val="Bibliography"/>
      </w:pPr>
      <w:bookmarkStart w:id="65" w:name="ref-prati2011survey"/>
      <w:bookmarkEnd w:id="64"/>
      <w:r>
        <w:t xml:space="preserve">30. Prati RC, Batista G, Monard MC: </w:t>
      </w:r>
      <w:r>
        <w:rPr>
          <w:b/>
        </w:rPr>
        <w:t>A survey on graphical methods for classification predictive performance evaluation</w:t>
      </w:r>
      <w:r>
        <w:t xml:space="preserve">. </w:t>
      </w:r>
      <w:r>
        <w:rPr>
          <w:i/>
        </w:rPr>
        <w:t>IEEE Transactions on Knowledge and Data Engineering</w:t>
      </w:r>
      <w:r>
        <w:t xml:space="preserve"> 2011, </w:t>
      </w:r>
      <w:r>
        <w:rPr>
          <w:b/>
        </w:rPr>
        <w:t>23</w:t>
      </w:r>
      <w:r>
        <w:t>:1601–1618.</w:t>
      </w:r>
    </w:p>
    <w:p w14:paraId="020D7B28" w14:textId="77777777" w:rsidR="00275611" w:rsidRDefault="00935B27">
      <w:pPr>
        <w:pStyle w:val="Bibliography"/>
      </w:pPr>
      <w:bookmarkStart w:id="66" w:name="ref-wei2013role"/>
      <w:bookmarkEnd w:id="65"/>
      <w:r>
        <w:t xml:space="preserve">31. Wei Q, Dunbrack Jr RL: </w:t>
      </w:r>
      <w:r>
        <w:rPr>
          <w:b/>
        </w:rPr>
        <w:t>The role of balanced training and testing data sets for binary classifiers in bioinformatics</w:t>
      </w:r>
      <w:r>
        <w:t xml:space="preserve">. </w:t>
      </w:r>
      <w:r>
        <w:rPr>
          <w:i/>
        </w:rPr>
        <w:t>PloS one</w:t>
      </w:r>
      <w:r>
        <w:t xml:space="preserve"> 2013, </w:t>
      </w:r>
      <w:r>
        <w:rPr>
          <w:b/>
        </w:rPr>
        <w:t>8</w:t>
      </w:r>
      <w:r>
        <w:t>:e67863.</w:t>
      </w:r>
    </w:p>
    <w:p w14:paraId="5A3A614E" w14:textId="77777777" w:rsidR="00275611" w:rsidRDefault="00935B27">
      <w:pPr>
        <w:pStyle w:val="Bibliography"/>
      </w:pPr>
      <w:bookmarkStart w:id="67" w:name="ref-chawla2002smote"/>
      <w:bookmarkEnd w:id="66"/>
      <w:r>
        <w:t xml:space="preserve">32. Chawla NV, Bowyer KW, Hall LO, Kegelmeyer WP: </w:t>
      </w:r>
      <w:r>
        <w:rPr>
          <w:b/>
        </w:rPr>
        <w:t>SMOTE: Synthetic minority over-sampling technique</w:t>
      </w:r>
      <w:r>
        <w:t xml:space="preserve">. </w:t>
      </w:r>
      <w:r>
        <w:rPr>
          <w:i/>
        </w:rPr>
        <w:t>Journal of artificial intelligence research</w:t>
      </w:r>
      <w:r>
        <w:t xml:space="preserve"> 2002, </w:t>
      </w:r>
      <w:r>
        <w:rPr>
          <w:b/>
        </w:rPr>
        <w:t>16</w:t>
      </w:r>
      <w:r>
        <w:t>:321–357.</w:t>
      </w:r>
    </w:p>
    <w:p w14:paraId="0CB3DAE3" w14:textId="77777777" w:rsidR="00275611" w:rsidRDefault="00935B27">
      <w:pPr>
        <w:pStyle w:val="Bibliography"/>
      </w:pPr>
      <w:bookmarkStart w:id="68" w:name="ref-Cresswell:2020ab"/>
      <w:bookmarkEnd w:id="67"/>
      <w:r>
        <w:t xml:space="preserve">33. Cresswell KG, Stansfield JC, Dozmorov MG: </w:t>
      </w:r>
      <w:r>
        <w:rPr>
          <w:b/>
        </w:rPr>
        <w:t>SpectralTAD: An r package for defining a hierar</w:t>
      </w:r>
      <w:r>
        <w:rPr>
          <w:b/>
        </w:rPr>
        <w:t>chy of topologically associated domains using spectral clustering</w:t>
      </w:r>
      <w:r>
        <w:t xml:space="preserve">. </w:t>
      </w:r>
      <w:r>
        <w:rPr>
          <w:i/>
        </w:rPr>
        <w:t>BMC Bioinformatics</w:t>
      </w:r>
      <w:r>
        <w:t xml:space="preserve"> 2020, </w:t>
      </w:r>
      <w:r>
        <w:rPr>
          <w:b/>
        </w:rPr>
        <w:t>21</w:t>
      </w:r>
      <w:r>
        <w:t>:319</w:t>
      </w:r>
      <w:hyperlink r:id="rId22">
        <w:r>
          <w:rPr>
            <w:rStyle w:val="Hyperlink"/>
          </w:rPr>
          <w:t>10.1186/s12859-020-03652-w</w:t>
        </w:r>
      </w:hyperlink>
      <w:r>
        <w:t>.</w:t>
      </w:r>
    </w:p>
    <w:p w14:paraId="6AE0F002" w14:textId="77777777" w:rsidR="00275611" w:rsidRDefault="00935B27">
      <w:pPr>
        <w:pStyle w:val="Bibliography"/>
      </w:pPr>
      <w:bookmarkStart w:id="69" w:name="ref-krefting2018evolutionary"/>
      <w:bookmarkEnd w:id="68"/>
      <w:r>
        <w:t xml:space="preserve">34. Krefting J, Andrade-Navarro MA, Ibn-Salem J: </w:t>
      </w:r>
      <w:r>
        <w:rPr>
          <w:b/>
        </w:rPr>
        <w:t>Evolutionary stabil</w:t>
      </w:r>
      <w:r>
        <w:rPr>
          <w:b/>
        </w:rPr>
        <w:t>ity of topologically associating domains is associated with conserved gene regulation</w:t>
      </w:r>
      <w:r>
        <w:t xml:space="preserve">. </w:t>
      </w:r>
      <w:r>
        <w:rPr>
          <w:i/>
        </w:rPr>
        <w:t>BMC biology</w:t>
      </w:r>
      <w:r>
        <w:t xml:space="preserve"> 2018, </w:t>
      </w:r>
      <w:r>
        <w:rPr>
          <w:b/>
        </w:rPr>
        <w:t>16</w:t>
      </w:r>
      <w:r>
        <w:t>:1–12.</w:t>
      </w:r>
    </w:p>
    <w:p w14:paraId="526469BF" w14:textId="77777777" w:rsidR="00275611" w:rsidRDefault="00935B27">
      <w:pPr>
        <w:pStyle w:val="Bibliography"/>
      </w:pPr>
      <w:bookmarkStart w:id="70" w:name="ref-sexton2012three"/>
      <w:bookmarkEnd w:id="69"/>
      <w:r>
        <w:t xml:space="preserve">35. Sexton T, Yaffe E, Kenigsberg E, Bantignies F, Leblanc B, Hoichman M, Parrinello H, Tanay A, Cavalli G: </w:t>
      </w:r>
      <w:r>
        <w:rPr>
          <w:b/>
        </w:rPr>
        <w:t>Three-dimensional folding and func</w:t>
      </w:r>
      <w:r>
        <w:rPr>
          <w:b/>
        </w:rPr>
        <w:t>tional organization principles of the drosophila genome</w:t>
      </w:r>
      <w:r>
        <w:t xml:space="preserve">. </w:t>
      </w:r>
      <w:r>
        <w:rPr>
          <w:i/>
        </w:rPr>
        <w:t>Cell</w:t>
      </w:r>
      <w:r>
        <w:t xml:space="preserve"> 2012, </w:t>
      </w:r>
      <w:r>
        <w:rPr>
          <w:b/>
        </w:rPr>
        <w:t>148</w:t>
      </w:r>
      <w:r>
        <w:t>:458–472.</w:t>
      </w:r>
    </w:p>
    <w:p w14:paraId="7139A950" w14:textId="77777777" w:rsidR="00275611" w:rsidRDefault="00935B27">
      <w:pPr>
        <w:pStyle w:val="Bibliography"/>
      </w:pPr>
      <w:bookmarkStart w:id="71" w:name="ref-durand2016juicebox"/>
      <w:bookmarkEnd w:id="70"/>
      <w:r>
        <w:lastRenderedPageBreak/>
        <w:t xml:space="preserve">36. Durand NC, Robinson JT, Shamim MS, Machol I, Mesirov JP, Lander ES, Aiden EL: </w:t>
      </w:r>
      <w:r>
        <w:rPr>
          <w:b/>
        </w:rPr>
        <w:t>Juicebox provides a visualization system for hi-c contact maps with unlimited zoom</w:t>
      </w:r>
      <w:r>
        <w:t xml:space="preserve">. </w:t>
      </w:r>
      <w:r>
        <w:rPr>
          <w:i/>
        </w:rPr>
        <w:t>Cell syst</w:t>
      </w:r>
      <w:r>
        <w:rPr>
          <w:i/>
        </w:rPr>
        <w:t>ems</w:t>
      </w:r>
      <w:r>
        <w:t xml:space="preserve"> 2016, </w:t>
      </w:r>
      <w:r>
        <w:rPr>
          <w:b/>
        </w:rPr>
        <w:t>3</w:t>
      </w:r>
      <w:r>
        <w:t>:99–101.</w:t>
      </w:r>
    </w:p>
    <w:p w14:paraId="4C21559A" w14:textId="77777777" w:rsidR="00275611" w:rsidRDefault="00935B27">
      <w:pPr>
        <w:pStyle w:val="Bibliography"/>
      </w:pPr>
      <w:bookmarkStart w:id="72" w:name="ref-mourad2016computational"/>
      <w:bookmarkEnd w:id="71"/>
      <w:r>
        <w:t xml:space="preserve">37. Mourad R, Cuvier O: </w:t>
      </w:r>
      <w:r>
        <w:rPr>
          <w:b/>
        </w:rPr>
        <w:t>Computational identification of genomic features that influence 3D chromatin domain formation</w:t>
      </w:r>
      <w:r>
        <w:t xml:space="preserve">. </w:t>
      </w:r>
      <w:r>
        <w:rPr>
          <w:i/>
        </w:rPr>
        <w:t>PLoS computational biology</w:t>
      </w:r>
      <w:r>
        <w:t xml:space="preserve"> 2016, </w:t>
      </w:r>
      <w:r>
        <w:rPr>
          <w:b/>
        </w:rPr>
        <w:t>12</w:t>
      </w:r>
      <w:r>
        <w:t>:e1004908.</w:t>
      </w:r>
    </w:p>
    <w:p w14:paraId="35DDD262" w14:textId="77777777" w:rsidR="00275611" w:rsidRDefault="00935B27">
      <w:pPr>
        <w:pStyle w:val="Bibliography"/>
      </w:pPr>
      <w:bookmarkStart w:id="73" w:name="ref-Moore:2015aa"/>
      <w:bookmarkEnd w:id="72"/>
      <w:r>
        <w:t xml:space="preserve">38. Moore BL, Aitken S, Semple CA: </w:t>
      </w:r>
      <w:r>
        <w:rPr>
          <w:b/>
        </w:rPr>
        <w:t>Integrative modeling reveals the pri</w:t>
      </w:r>
      <w:r>
        <w:rPr>
          <w:b/>
        </w:rPr>
        <w:t>nciples of multi-scale chromatin boundary formation in human nuclear organization</w:t>
      </w:r>
      <w:r>
        <w:t xml:space="preserve">. </w:t>
      </w:r>
      <w:r>
        <w:rPr>
          <w:i/>
        </w:rPr>
        <w:t>Genome Biol</w:t>
      </w:r>
      <w:r>
        <w:t xml:space="preserve"> 2015, </w:t>
      </w:r>
      <w:r>
        <w:rPr>
          <w:b/>
        </w:rPr>
        <w:t>16</w:t>
      </w:r>
      <w:r>
        <w:t>:110</w:t>
      </w:r>
      <w:hyperlink r:id="rId23">
        <w:r>
          <w:rPr>
            <w:rStyle w:val="Hyperlink"/>
          </w:rPr>
          <w:t>10.1186/s13059-015-0661-x</w:t>
        </w:r>
      </w:hyperlink>
      <w:r>
        <w:t>.</w:t>
      </w:r>
    </w:p>
    <w:p w14:paraId="19DCC07D" w14:textId="77777777" w:rsidR="00275611" w:rsidRDefault="00935B27">
      <w:pPr>
        <w:pStyle w:val="Bibliography"/>
      </w:pPr>
      <w:bookmarkStart w:id="74" w:name="ref-Al-Bkhetan:2018aa"/>
      <w:bookmarkEnd w:id="73"/>
      <w:r>
        <w:t xml:space="preserve">39. Al Bkhetan Z, Plewczynski D: </w:t>
      </w:r>
      <w:r>
        <w:rPr>
          <w:b/>
        </w:rPr>
        <w:t>Three-dimensional epigenome statistical model: Genome-wide chromatin looping prediction</w:t>
      </w:r>
      <w:r>
        <w:t xml:space="preserve">. </w:t>
      </w:r>
      <w:r>
        <w:rPr>
          <w:i/>
        </w:rPr>
        <w:t>Sci Rep</w:t>
      </w:r>
      <w:r>
        <w:t xml:space="preserve"> 2018, </w:t>
      </w:r>
      <w:r>
        <w:rPr>
          <w:b/>
        </w:rPr>
        <w:t>8</w:t>
      </w:r>
      <w:r>
        <w:t>:5217</w:t>
      </w:r>
      <w:hyperlink r:id="rId24">
        <w:r>
          <w:rPr>
            <w:rStyle w:val="Hyperlink"/>
          </w:rPr>
          <w:t>10.1038/s41598-018-23276-8</w:t>
        </w:r>
      </w:hyperlink>
      <w:r>
        <w:t>.</w:t>
      </w:r>
    </w:p>
    <w:p w14:paraId="44D12871" w14:textId="77777777" w:rsidR="00275611" w:rsidRDefault="00935B27">
      <w:pPr>
        <w:pStyle w:val="Bibliography"/>
      </w:pPr>
      <w:bookmarkStart w:id="75" w:name="ref-kai2018predicting"/>
      <w:bookmarkEnd w:id="74"/>
      <w:r>
        <w:t>40. Kai Y, Andricovich J</w:t>
      </w:r>
      <w:r>
        <w:t xml:space="preserve">, Zeng Z, Zhu J, Tzatsos A, Peng W: </w:t>
      </w:r>
      <w:r>
        <w:rPr>
          <w:b/>
        </w:rPr>
        <w:t>Predicting ctcf-mediated chromatin interactions by integrating genomic and epigenomic features</w:t>
      </w:r>
      <w:r>
        <w:t xml:space="preserve">. </w:t>
      </w:r>
      <w:r>
        <w:rPr>
          <w:i/>
        </w:rPr>
        <w:t>Nature communications</w:t>
      </w:r>
      <w:r>
        <w:t xml:space="preserve"> 2018, </w:t>
      </w:r>
      <w:r>
        <w:rPr>
          <w:b/>
        </w:rPr>
        <w:t>9</w:t>
      </w:r>
      <w:r>
        <w:t>:1–14.</w:t>
      </w:r>
    </w:p>
    <w:p w14:paraId="27095743" w14:textId="77777777" w:rsidR="00275611" w:rsidRDefault="00935B27">
      <w:pPr>
        <w:pStyle w:val="Bibliography"/>
      </w:pPr>
      <w:bookmarkStart w:id="76" w:name="ref-chang2020tads"/>
      <w:bookmarkEnd w:id="75"/>
      <w:r>
        <w:t xml:space="preserve">41. Chang L-H, Ghosh S, Noordermeer D: </w:t>
      </w:r>
      <w:r>
        <w:rPr>
          <w:b/>
        </w:rPr>
        <w:t>TADs and their borders: Free movement or building</w:t>
      </w:r>
      <w:r>
        <w:rPr>
          <w:b/>
        </w:rPr>
        <w:t xml:space="preserve"> a wall?</w:t>
      </w:r>
      <w:r>
        <w:t xml:space="preserve"> </w:t>
      </w:r>
      <w:r>
        <w:rPr>
          <w:i/>
        </w:rPr>
        <w:t>Journal of Molecular Biology</w:t>
      </w:r>
      <w:r>
        <w:t xml:space="preserve"> 2020, </w:t>
      </w:r>
      <w:r>
        <w:rPr>
          <w:b/>
        </w:rPr>
        <w:t>432</w:t>
      </w:r>
      <w:r>
        <w:t>:643–652.</w:t>
      </w:r>
    </w:p>
    <w:p w14:paraId="2C656182" w14:textId="77777777" w:rsidR="00275611" w:rsidRDefault="00935B27">
      <w:pPr>
        <w:pStyle w:val="Bibliography"/>
      </w:pPr>
      <w:bookmarkStart w:id="77" w:name="ref-Flyamer:2017aa"/>
      <w:bookmarkEnd w:id="76"/>
      <w:r>
        <w:t xml:space="preserve">42. Flyamer IM, Gassler J, Imakaev M, Brandão HB, Ulianov SV, Abdennur N, Razin SV, Mirny LA, Tachibana-Konwalski K: </w:t>
      </w:r>
      <w:r>
        <w:rPr>
          <w:b/>
        </w:rPr>
        <w:t>Single-nucleus hi-c reveals unique chromatin reorganization at oocyte-to-zygote tr</w:t>
      </w:r>
      <w:r>
        <w:rPr>
          <w:b/>
        </w:rPr>
        <w:t>ansition</w:t>
      </w:r>
      <w:r>
        <w:t xml:space="preserve">. </w:t>
      </w:r>
      <w:r>
        <w:rPr>
          <w:i/>
        </w:rPr>
        <w:t>Nature</w:t>
      </w:r>
      <w:r>
        <w:t xml:space="preserve"> 2017, </w:t>
      </w:r>
      <w:r>
        <w:rPr>
          <w:b/>
        </w:rPr>
        <w:t>544</w:t>
      </w:r>
      <w:r>
        <w:t>:110–114</w:t>
      </w:r>
      <w:hyperlink r:id="rId25">
        <w:r>
          <w:rPr>
            <w:rStyle w:val="Hyperlink"/>
          </w:rPr>
          <w:t>10.1038/nature21711</w:t>
        </w:r>
      </w:hyperlink>
      <w:r>
        <w:t>.</w:t>
      </w:r>
    </w:p>
    <w:p w14:paraId="485A8C98" w14:textId="77777777" w:rsidR="00275611" w:rsidRDefault="00935B27">
      <w:pPr>
        <w:pStyle w:val="Bibliography"/>
      </w:pPr>
      <w:bookmarkStart w:id="78" w:name="ref-Krietenstein:2020aa"/>
      <w:bookmarkEnd w:id="77"/>
      <w:r>
        <w:t xml:space="preserve">43. Krietenstein N, Abraham S, Venev SV, Abdennur N, Gibcus J, Hsieh T-HS, Parsi KM, Yang L, Maehr R, Mirny LA, Dekker J, Rando OJ: </w:t>
      </w:r>
      <w:r>
        <w:rPr>
          <w:b/>
        </w:rPr>
        <w:t>Ultrastructura</w:t>
      </w:r>
      <w:r>
        <w:rPr>
          <w:b/>
        </w:rPr>
        <w:t>l details of mammalian chromosome architecture</w:t>
      </w:r>
      <w:r>
        <w:t xml:space="preserve">. </w:t>
      </w:r>
      <w:r>
        <w:rPr>
          <w:i/>
        </w:rPr>
        <w:t>Mol Cell</w:t>
      </w:r>
      <w:r>
        <w:t xml:space="preserve"> 2020, </w:t>
      </w:r>
      <w:r>
        <w:rPr>
          <w:b/>
        </w:rPr>
        <w:t>78</w:t>
      </w:r>
      <w:r>
        <w:t>:554–565.e7</w:t>
      </w:r>
      <w:hyperlink r:id="rId26">
        <w:r>
          <w:rPr>
            <w:rStyle w:val="Hyperlink"/>
          </w:rPr>
          <w:t>10.1016/j.molcel.2020.03.003</w:t>
        </w:r>
      </w:hyperlink>
      <w:r>
        <w:t>.</w:t>
      </w:r>
    </w:p>
    <w:p w14:paraId="54D0914A" w14:textId="77777777" w:rsidR="00275611" w:rsidRDefault="00935B27">
      <w:pPr>
        <w:pStyle w:val="Bibliography"/>
      </w:pPr>
      <w:bookmarkStart w:id="79" w:name="ref-weinreb2016identification"/>
      <w:bookmarkEnd w:id="78"/>
      <w:r>
        <w:lastRenderedPageBreak/>
        <w:t xml:space="preserve">44. Weinreb C, Raphael BJ: </w:t>
      </w:r>
      <w:r>
        <w:rPr>
          <w:b/>
        </w:rPr>
        <w:t>Identification of hierarchical chromatin domains</w:t>
      </w:r>
      <w:r>
        <w:t xml:space="preserve">. </w:t>
      </w:r>
      <w:r>
        <w:rPr>
          <w:i/>
        </w:rPr>
        <w:t>Bioinform</w:t>
      </w:r>
      <w:r>
        <w:rPr>
          <w:i/>
        </w:rPr>
        <w:t>atics</w:t>
      </w:r>
      <w:r>
        <w:t xml:space="preserve"> 2016, </w:t>
      </w:r>
      <w:r>
        <w:rPr>
          <w:b/>
        </w:rPr>
        <w:t>32</w:t>
      </w:r>
      <w:r>
        <w:t>:1601–1609.</w:t>
      </w:r>
    </w:p>
    <w:p w14:paraId="60629734" w14:textId="77777777" w:rsidR="00275611" w:rsidRDefault="00935B27">
      <w:pPr>
        <w:pStyle w:val="Bibliography"/>
      </w:pPr>
      <w:bookmarkStart w:id="80" w:name="ref-fraser2015hierarchical"/>
      <w:bookmarkEnd w:id="79"/>
      <w:r>
        <w:t xml:space="preserve">45. Fraser J, Ferrai C, Chiariello AM, Schueler M, Rito T, Laudanno G, Barbieri M, Moore BL, Kraemer DC, Aitken S, others: </w:t>
      </w:r>
      <w:r>
        <w:rPr>
          <w:b/>
        </w:rPr>
        <w:t>Hierarchical folding and reorganization of chromosomes are linked to transcriptional changes in cellular di</w:t>
      </w:r>
      <w:r>
        <w:rPr>
          <w:b/>
        </w:rPr>
        <w:t>fferentiation</w:t>
      </w:r>
      <w:r>
        <w:t xml:space="preserve">. </w:t>
      </w:r>
      <w:r>
        <w:rPr>
          <w:i/>
        </w:rPr>
        <w:t>Molecular systems biology</w:t>
      </w:r>
      <w:r>
        <w:t xml:space="preserve"> 2015, </w:t>
      </w:r>
      <w:r>
        <w:rPr>
          <w:b/>
        </w:rPr>
        <w:t>11</w:t>
      </w:r>
      <w:r>
        <w:t>.</w:t>
      </w:r>
    </w:p>
    <w:p w14:paraId="414F7F21" w14:textId="77777777" w:rsidR="00275611" w:rsidRDefault="00935B27">
      <w:pPr>
        <w:pStyle w:val="Bibliography"/>
      </w:pPr>
      <w:bookmarkStart w:id="81" w:name="ref-Harrold:2020aa"/>
      <w:bookmarkEnd w:id="80"/>
      <w:r>
        <w:t xml:space="preserve">46. Harrold CL, Gosden ME, Hanssen LLP, Stolper RJ, Downes DJ, Telenius JM, Biggs D, Preece C, Alghadban S, Sharpe JA, Davies B, Sloane-Stanley JA, Kassouf MT, Hughes JR, Higgs DR: </w:t>
      </w:r>
      <w:r>
        <w:rPr>
          <w:b/>
        </w:rPr>
        <w:t>A functional overlap bet</w:t>
      </w:r>
      <w:r>
        <w:rPr>
          <w:b/>
        </w:rPr>
        <w:t>ween actively transcribed genes and chromatin boundary elements</w:t>
      </w:r>
      <w:r>
        <w:t xml:space="preserve">. </w:t>
      </w:r>
      <w:r>
        <w:rPr>
          <w:i/>
        </w:rPr>
        <w:t>bioRxiv</w:t>
      </w:r>
      <w:r>
        <w:t>,:2020.07.01.182089</w:t>
      </w:r>
      <w:hyperlink r:id="rId27">
        <w:r>
          <w:rPr>
            <w:rStyle w:val="Hyperlink"/>
          </w:rPr>
          <w:t>10.1101/2020.07.01.182089</w:t>
        </w:r>
      </w:hyperlink>
      <w:r>
        <w:t xml:space="preserve">Available: </w:t>
      </w:r>
      <w:hyperlink r:id="rId28">
        <w:r>
          <w:rPr>
            <w:rStyle w:val="Hyperlink"/>
          </w:rPr>
          <w:t>http://biorxiv.org/content/early/2020/07/01/2020.07.01.182089.abstract</w:t>
        </w:r>
      </w:hyperlink>
      <w:r>
        <w:t>.</w:t>
      </w:r>
    </w:p>
    <w:p w14:paraId="21CCFBA4" w14:textId="77777777" w:rsidR="00275611" w:rsidRDefault="00935B27">
      <w:pPr>
        <w:pStyle w:val="Bibliography"/>
      </w:pPr>
      <w:bookmarkStart w:id="82" w:name="ref-Stunnenberg:2016aa"/>
      <w:bookmarkEnd w:id="81"/>
      <w:r>
        <w:t xml:space="preserve">47. Stunnenberg HG, International Human Epigenome Consortium, Hirst M: </w:t>
      </w:r>
      <w:r>
        <w:rPr>
          <w:b/>
        </w:rPr>
        <w:t xml:space="preserve">The international human epigenome consortium: A blueprint for scientific collaboration and </w:t>
      </w:r>
      <w:r>
        <w:rPr>
          <w:b/>
        </w:rPr>
        <w:t>discovery</w:t>
      </w:r>
      <w:r>
        <w:t xml:space="preserve">. </w:t>
      </w:r>
      <w:r>
        <w:rPr>
          <w:i/>
        </w:rPr>
        <w:t>Cell</w:t>
      </w:r>
      <w:r>
        <w:t xml:space="preserve"> 2016, </w:t>
      </w:r>
      <w:r>
        <w:rPr>
          <w:b/>
        </w:rPr>
        <w:t>167</w:t>
      </w:r>
      <w:r>
        <w:t>:1145–1149</w:t>
      </w:r>
      <w:hyperlink r:id="rId29">
        <w:r>
          <w:rPr>
            <w:rStyle w:val="Hyperlink"/>
          </w:rPr>
          <w:t>10.1016/j.cell.2016.11.007</w:t>
        </w:r>
      </w:hyperlink>
      <w:r>
        <w:t>.</w:t>
      </w:r>
    </w:p>
    <w:p w14:paraId="4FDE9692" w14:textId="77777777" w:rsidR="00275611" w:rsidRDefault="00935B27">
      <w:pPr>
        <w:pStyle w:val="Bibliography"/>
      </w:pPr>
      <w:bookmarkStart w:id="83" w:name="ref-Schreiber:2020aa"/>
      <w:bookmarkEnd w:id="82"/>
      <w:r>
        <w:t xml:space="preserve">48. Schreiber J, Durham T, Bilmes J, Noble WS: </w:t>
      </w:r>
      <w:r>
        <w:rPr>
          <w:b/>
        </w:rPr>
        <w:t>Avocado: A multi-scale deep tensor factorization method learns a latent representation of the human epigenome</w:t>
      </w:r>
      <w:r>
        <w:t xml:space="preserve">. </w:t>
      </w:r>
      <w:r>
        <w:rPr>
          <w:i/>
        </w:rPr>
        <w:t>Genome Biol</w:t>
      </w:r>
      <w:r>
        <w:t xml:space="preserve"> 2020, </w:t>
      </w:r>
      <w:r>
        <w:rPr>
          <w:b/>
        </w:rPr>
        <w:t>21</w:t>
      </w:r>
      <w:r>
        <w:t>:81</w:t>
      </w:r>
      <w:hyperlink r:id="rId30">
        <w:r>
          <w:rPr>
            <w:rStyle w:val="Hyperlink"/>
          </w:rPr>
          <w:t>10.1186/s13059-020-01977-6</w:t>
        </w:r>
      </w:hyperlink>
      <w:r>
        <w:t>.</w:t>
      </w:r>
    </w:p>
    <w:p w14:paraId="294350A2" w14:textId="77777777" w:rsidR="00275611" w:rsidRDefault="00935B27">
      <w:pPr>
        <w:pStyle w:val="Bibliography"/>
      </w:pPr>
      <w:bookmarkStart w:id="84" w:name="ref-Tyner:2017aa"/>
      <w:bookmarkEnd w:id="83"/>
      <w:r>
        <w:t>49. Tyner C, Barber GP, Casper J</w:t>
      </w:r>
      <w:r>
        <w:t xml:space="preserve">, Clawson H, Diekhans M, Eisenhart C, Fischer CM, Gibson D, Gonzalez JN, Guruvadoo L, Haeussler M, Heitner S, Hinrichs AS, Karolchik D, Lee BT, Lee CM, Nejad P, Raney BJ, Rosenbloom KR, Speir ML, Villarreal C, Vivian J, Zweig AS, Haussler D, Kuhn RM, Kent </w:t>
      </w:r>
      <w:r>
        <w:t xml:space="preserve">WJ: </w:t>
      </w:r>
      <w:r>
        <w:rPr>
          <w:b/>
        </w:rPr>
        <w:t>The ucsc genome browser database: 2017 update</w:t>
      </w:r>
      <w:r>
        <w:t xml:space="preserve">. </w:t>
      </w:r>
      <w:r>
        <w:rPr>
          <w:i/>
        </w:rPr>
        <w:t>Nucleic Acids Res</w:t>
      </w:r>
      <w:r>
        <w:t xml:space="preserve"> 2017, </w:t>
      </w:r>
      <w:r>
        <w:rPr>
          <w:b/>
        </w:rPr>
        <w:t>45</w:t>
      </w:r>
      <w:r>
        <w:t>:D626–D634</w:t>
      </w:r>
      <w:hyperlink r:id="rId31">
        <w:r>
          <w:rPr>
            <w:rStyle w:val="Hyperlink"/>
          </w:rPr>
          <w:t>10.1093/nar/gkw1134</w:t>
        </w:r>
      </w:hyperlink>
      <w:r>
        <w:t>.</w:t>
      </w:r>
    </w:p>
    <w:p w14:paraId="1679186B" w14:textId="77777777" w:rsidR="00275611" w:rsidRDefault="00935B27">
      <w:pPr>
        <w:pStyle w:val="Bibliography"/>
      </w:pPr>
      <w:bookmarkStart w:id="85" w:name="ref-kuhn2012caret"/>
      <w:bookmarkEnd w:id="84"/>
      <w:r>
        <w:lastRenderedPageBreak/>
        <w:t xml:space="preserve">50. Kuhn M: </w:t>
      </w:r>
      <w:r>
        <w:rPr>
          <w:b/>
        </w:rPr>
        <w:t>The caret package</w:t>
      </w:r>
      <w:r>
        <w:t xml:space="preserve">. </w:t>
      </w:r>
      <w:r>
        <w:rPr>
          <w:i/>
        </w:rPr>
        <w:t>R Foundation for Statistical Computing, Vienna, Austria. URL h</w:t>
      </w:r>
      <w:r>
        <w:rPr>
          <w:i/>
        </w:rPr>
        <w:t>ttps://cran. r-project. org/package= caret</w:t>
      </w:r>
      <w:r>
        <w:t xml:space="preserve"> 2012,.</w:t>
      </w:r>
    </w:p>
    <w:p w14:paraId="3EAA71E0" w14:textId="77777777" w:rsidR="00275611" w:rsidRDefault="00935B27">
      <w:pPr>
        <w:pStyle w:val="Bibliography"/>
      </w:pPr>
      <w:bookmarkStart w:id="86" w:name="ref-schreiber2019pitfall"/>
      <w:bookmarkEnd w:id="85"/>
      <w:r>
        <w:t xml:space="preserve">51. Schreiber J, Singh R, Bilmes J, Noble WS: </w:t>
      </w:r>
      <w:r>
        <w:rPr>
          <w:b/>
        </w:rPr>
        <w:t>A pitfall for machine learning methods aiming to predict across cell types</w:t>
      </w:r>
      <w:r>
        <w:t xml:space="preserve">. </w:t>
      </w:r>
      <w:r>
        <w:rPr>
          <w:i/>
        </w:rPr>
        <w:t>bioRxiv</w:t>
      </w:r>
      <w:r>
        <w:t xml:space="preserve"> 2019,:512434.</w:t>
      </w:r>
    </w:p>
    <w:p w14:paraId="2BDF7046" w14:textId="77777777" w:rsidR="00275611" w:rsidRDefault="00935B27">
      <w:pPr>
        <w:pStyle w:val="Bibliography"/>
      </w:pPr>
      <w:bookmarkStart w:id="87" w:name="ref-van2014insulator"/>
      <w:bookmarkEnd w:id="86"/>
      <w:r>
        <w:t>52. Van Bortle K, Nichols MH, Li L, Ong C-T, Takenaka N, Qin Z</w:t>
      </w:r>
      <w:r>
        <w:t xml:space="preserve">S, Corces VG: </w:t>
      </w:r>
      <w:r>
        <w:rPr>
          <w:b/>
        </w:rPr>
        <w:t>Insulator function and topological domain border strength scale with architectural protein occupancy</w:t>
      </w:r>
      <w:r>
        <w:t xml:space="preserve">. </w:t>
      </w:r>
      <w:r>
        <w:rPr>
          <w:i/>
        </w:rPr>
        <w:t>Genome biology</w:t>
      </w:r>
      <w:r>
        <w:t xml:space="preserve"> 2014, </w:t>
      </w:r>
      <w:r>
        <w:rPr>
          <w:b/>
        </w:rPr>
        <w:t>15</w:t>
      </w:r>
      <w:r>
        <w:t>:R82.</w:t>
      </w:r>
    </w:p>
    <w:p w14:paraId="35E2F55D" w14:textId="77777777" w:rsidR="00275611" w:rsidRDefault="00935B27">
      <w:pPr>
        <w:pStyle w:val="Bibliography"/>
      </w:pPr>
      <w:bookmarkStart w:id="88" w:name="ref-hahsler2019dbscan"/>
      <w:bookmarkEnd w:id="87"/>
      <w:r>
        <w:t xml:space="preserve">53. Hahsler M, Piekenbrock M, Doran D: </w:t>
      </w:r>
      <w:r>
        <w:rPr>
          <w:b/>
        </w:rPr>
        <w:t>Dbscan: Fast density-based clustering with r</w:t>
      </w:r>
      <w:r>
        <w:t xml:space="preserve">. </w:t>
      </w:r>
      <w:r>
        <w:rPr>
          <w:i/>
        </w:rPr>
        <w:t>Journal of Statistical Sof</w:t>
      </w:r>
      <w:r>
        <w:rPr>
          <w:i/>
        </w:rPr>
        <w:t>tware</w:t>
      </w:r>
      <w:r>
        <w:t xml:space="preserve"> 2019, </w:t>
      </w:r>
      <w:r>
        <w:rPr>
          <w:b/>
        </w:rPr>
        <w:t>25</w:t>
      </w:r>
      <w:r>
        <w:t>:409–416.</w:t>
      </w:r>
    </w:p>
    <w:p w14:paraId="5EEBB2A5" w14:textId="77777777" w:rsidR="00275611" w:rsidRDefault="00935B27">
      <w:pPr>
        <w:pStyle w:val="Bibliography"/>
      </w:pPr>
      <w:bookmarkStart w:id="89" w:name="ref-ramirez2016deeptools"/>
      <w:bookmarkEnd w:id="88"/>
      <w:r>
        <w:t xml:space="preserve">54. Ramirez F, Ryan DP, Gruning B, Bhardwaj V, Kilpert F, Richter AS, Heyne S, Dundar F, Manke T: </w:t>
      </w:r>
      <w:r>
        <w:rPr>
          <w:b/>
        </w:rPr>
        <w:t>DeepTools2: A next generation web server for deep-sequencing data analysis</w:t>
      </w:r>
      <w:r>
        <w:t xml:space="preserve">. </w:t>
      </w:r>
      <w:r>
        <w:rPr>
          <w:i/>
        </w:rPr>
        <w:t>Nucleic acids research</w:t>
      </w:r>
      <w:r>
        <w:t xml:space="preserve"> 2016, </w:t>
      </w:r>
      <w:r>
        <w:rPr>
          <w:b/>
        </w:rPr>
        <w:t>44</w:t>
      </w:r>
      <w:r>
        <w:t>:W160–W165.</w:t>
      </w:r>
      <w:bookmarkEnd w:id="36"/>
      <w:bookmarkEnd w:id="89"/>
    </w:p>
    <w:sectPr w:rsidR="00275611" w:rsidSect="00645317">
      <w:footerReference w:type="even" r:id="rId32"/>
      <w:footerReference w:type="default" r:id="rId33"/>
      <w:pgSz w:w="12240" w:h="15840"/>
      <w:pgMar w:top="1440" w:right="1440" w:bottom="1440" w:left="1440" w:header="720" w:footer="720" w:gutter="0"/>
      <w:lnNumType w:countBy="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2E597C" w14:textId="77777777" w:rsidR="00935B27" w:rsidRDefault="00935B27">
      <w:pPr>
        <w:spacing w:after="0" w:line="240" w:lineRule="auto"/>
      </w:pPr>
      <w:r>
        <w:separator/>
      </w:r>
    </w:p>
  </w:endnote>
  <w:endnote w:type="continuationSeparator" w:id="0">
    <w:p w14:paraId="241A7537" w14:textId="77777777" w:rsidR="00935B27" w:rsidRDefault="00935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63625799"/>
      <w:docPartObj>
        <w:docPartGallery w:val="Page Numbers (Bottom of Page)"/>
        <w:docPartUnique/>
      </w:docPartObj>
    </w:sdtPr>
    <w:sdtEndPr>
      <w:rPr>
        <w:rStyle w:val="PageNumber"/>
      </w:rPr>
    </w:sdtEndPr>
    <w:sdtContent>
      <w:p w14:paraId="01AFACAD" w14:textId="77777777" w:rsidR="00645317" w:rsidRDefault="00935B27" w:rsidP="0013378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801B93" w14:textId="77777777" w:rsidR="00645317" w:rsidRDefault="00935B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0737695"/>
      <w:docPartObj>
        <w:docPartGallery w:val="Page Numbers (Bottom of Page)"/>
        <w:docPartUnique/>
      </w:docPartObj>
    </w:sdtPr>
    <w:sdtEndPr>
      <w:rPr>
        <w:rStyle w:val="PageNumber"/>
      </w:rPr>
    </w:sdtEndPr>
    <w:sdtContent>
      <w:p w14:paraId="24810524" w14:textId="77777777" w:rsidR="00645317" w:rsidRDefault="00935B27" w:rsidP="0013378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AEF77F" w14:textId="77777777" w:rsidR="00645317" w:rsidRDefault="00935B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3C0F26" w14:textId="77777777" w:rsidR="00935B27" w:rsidRDefault="00935B27">
      <w:r>
        <w:separator/>
      </w:r>
    </w:p>
  </w:footnote>
  <w:footnote w:type="continuationSeparator" w:id="0">
    <w:p w14:paraId="4C2166C4" w14:textId="77777777" w:rsidR="00935B27" w:rsidRDefault="00935B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669EF6A"/>
    <w:multiLevelType w:val="multilevel"/>
    <w:tmpl w:val="E04AF6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F4C20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D763A0"/>
    <w:multiLevelType w:val="multilevel"/>
    <w:tmpl w:val="D35625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8F3467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C0A61704"/>
    <w:lvl w:ilvl="0">
      <w:start w:val="1"/>
      <w:numFmt w:val="decimal"/>
      <w:lvlText w:val="%1."/>
      <w:lvlJc w:val="left"/>
      <w:pPr>
        <w:tabs>
          <w:tab w:val="num" w:pos="1800"/>
        </w:tabs>
        <w:ind w:left="1800" w:hanging="360"/>
      </w:pPr>
    </w:lvl>
  </w:abstractNum>
  <w:abstractNum w:abstractNumId="5" w15:restartNumberingAfterBreak="0">
    <w:nsid w:val="FFFFFF7D"/>
    <w:multiLevelType w:val="singleLevel"/>
    <w:tmpl w:val="7D909DFC"/>
    <w:lvl w:ilvl="0">
      <w:start w:val="1"/>
      <w:numFmt w:val="decimal"/>
      <w:lvlText w:val="%1."/>
      <w:lvlJc w:val="left"/>
      <w:pPr>
        <w:tabs>
          <w:tab w:val="num" w:pos="1440"/>
        </w:tabs>
        <w:ind w:left="1440" w:hanging="360"/>
      </w:pPr>
    </w:lvl>
  </w:abstractNum>
  <w:abstractNum w:abstractNumId="6" w15:restartNumberingAfterBreak="0">
    <w:nsid w:val="FFFFFF7E"/>
    <w:multiLevelType w:val="singleLevel"/>
    <w:tmpl w:val="63B699BE"/>
    <w:lvl w:ilvl="0">
      <w:start w:val="1"/>
      <w:numFmt w:val="decimal"/>
      <w:lvlText w:val="%1."/>
      <w:lvlJc w:val="left"/>
      <w:pPr>
        <w:tabs>
          <w:tab w:val="num" w:pos="1080"/>
        </w:tabs>
        <w:ind w:left="1080" w:hanging="360"/>
      </w:pPr>
    </w:lvl>
  </w:abstractNum>
  <w:abstractNum w:abstractNumId="7" w15:restartNumberingAfterBreak="0">
    <w:nsid w:val="FFFFFF7F"/>
    <w:multiLevelType w:val="singleLevel"/>
    <w:tmpl w:val="B5B0BAC8"/>
    <w:lvl w:ilvl="0">
      <w:start w:val="1"/>
      <w:numFmt w:val="decimal"/>
      <w:lvlText w:val="%1."/>
      <w:lvlJc w:val="left"/>
      <w:pPr>
        <w:tabs>
          <w:tab w:val="num" w:pos="720"/>
        </w:tabs>
        <w:ind w:left="720" w:hanging="360"/>
      </w:pPr>
    </w:lvl>
  </w:abstractNum>
  <w:abstractNum w:abstractNumId="8" w15:restartNumberingAfterBreak="0">
    <w:nsid w:val="FFFFFF80"/>
    <w:multiLevelType w:val="singleLevel"/>
    <w:tmpl w:val="4F4CA582"/>
    <w:lvl w:ilvl="0">
      <w:start w:val="1"/>
      <w:numFmt w:val="bullet"/>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0AB41C74"/>
    <w:lvl w:ilvl="0">
      <w:start w:val="1"/>
      <w:numFmt w:val="bullet"/>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CE24EB28"/>
    <w:lvl w:ilvl="0">
      <w:start w:val="1"/>
      <w:numFmt w:val="bullet"/>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F60A782C"/>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37C045C6"/>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9D101680"/>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C1AE401"/>
    <w:multiLevelType w:val="multilevel"/>
    <w:tmpl w:val="7DBC29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3"/>
  </w:num>
  <w:num w:numId="4">
    <w:abstractNumId w:val="4"/>
  </w:num>
  <w:num w:numId="5">
    <w:abstractNumId w:val="5"/>
  </w:num>
  <w:num w:numId="6">
    <w:abstractNumId w:val="6"/>
  </w:num>
  <w:num w:numId="7">
    <w:abstractNumId w:val="7"/>
  </w:num>
  <w:num w:numId="8">
    <w:abstractNumId w:val="12"/>
  </w:num>
  <w:num w:numId="9">
    <w:abstractNumId w:val="8"/>
  </w:num>
  <w:num w:numId="10">
    <w:abstractNumId w:val="9"/>
  </w:num>
  <w:num w:numId="11">
    <w:abstractNumId w:val="10"/>
  </w:num>
  <w:num w:numId="12">
    <w:abstractNumId w:val="11"/>
  </w:num>
  <w:num w:numId="13">
    <w:abstractNumId w:val="13"/>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611"/>
    <w:rsid w:val="004E29B3"/>
    <w:rsid w:val="005863CA"/>
    <w:rsid w:val="00590D07"/>
    <w:rsid w:val="00784D58"/>
    <w:rsid w:val="008D6863"/>
    <w:rsid w:val="00935B2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59842"/>
  <w15:docId w15:val="{C585556B-031E-4F55-A7B9-A607DFB0C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D04319"/>
    <w:pPr>
      <w:spacing w:line="480" w:lineRule="auto"/>
    </w:pPr>
    <w:rPr>
      <w:rFonts w:ascii="Arial" w:hAnsi="Arial"/>
      <w:sz w:val="22"/>
    </w:rPr>
  </w:style>
  <w:style w:type="paragraph" w:styleId="Heading1">
    <w:name w:val="heading 1"/>
    <w:basedOn w:val="Normal"/>
    <w:next w:val="BodyText"/>
    <w:uiPriority w:val="9"/>
    <w:qFormat/>
    <w:rsid w:val="00CD695D"/>
    <w:pPr>
      <w:keepNext/>
      <w:keepLines/>
      <w:spacing w:before="480" w:after="0"/>
      <w:outlineLvl w:val="0"/>
    </w:pPr>
    <w:rPr>
      <w:rFonts w:eastAsiaTheme="majorEastAsia" w:cstheme="majorBidi"/>
      <w:b/>
      <w:bCs/>
      <w:color w:val="000000" w:themeColor="text1"/>
      <w:szCs w:val="32"/>
    </w:rPr>
  </w:style>
  <w:style w:type="paragraph" w:styleId="Heading2">
    <w:name w:val="heading 2"/>
    <w:basedOn w:val="Normal"/>
    <w:next w:val="BodyText"/>
    <w:uiPriority w:val="9"/>
    <w:unhideWhenUsed/>
    <w:qFormat/>
    <w:rsid w:val="00CD695D"/>
    <w:pPr>
      <w:keepNext/>
      <w:keepLines/>
      <w:spacing w:before="200" w:after="0"/>
      <w:outlineLvl w:val="1"/>
    </w:pPr>
    <w:rPr>
      <w:rFonts w:eastAsiaTheme="majorEastAsia" w:cstheme="majorBidi"/>
      <w:b/>
      <w:bCs/>
      <w:color w:val="000000" w:themeColor="text1"/>
      <w:sz w:val="21"/>
      <w:szCs w:val="32"/>
    </w:rPr>
  </w:style>
  <w:style w:type="paragraph" w:styleId="Heading3">
    <w:name w:val="heading 3"/>
    <w:basedOn w:val="Normal"/>
    <w:next w:val="BodyText"/>
    <w:uiPriority w:val="9"/>
    <w:unhideWhenUsed/>
    <w:qFormat/>
    <w:rsid w:val="00CD695D"/>
    <w:pPr>
      <w:keepNext/>
      <w:keepLines/>
      <w:spacing w:before="200" w:after="0"/>
      <w:outlineLvl w:val="2"/>
    </w:pPr>
    <w:rPr>
      <w:rFonts w:eastAsiaTheme="majorEastAsia" w:cstheme="majorBidi"/>
      <w:b/>
      <w:bCs/>
      <w:color w:val="000000" w:themeColor="text1"/>
      <w:sz w:val="20"/>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83BEA"/>
    <w:pPr>
      <w:keepNext/>
      <w:keepLines/>
      <w:spacing w:before="480" w:after="240"/>
      <w:jc w:val="center"/>
    </w:pPr>
    <w:rPr>
      <w:rFonts w:eastAsiaTheme="majorEastAsia"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CD695D"/>
    <w:pPr>
      <w:keepNext/>
      <w:keepLines/>
      <w:jc w:val="center"/>
    </w:pPr>
    <w:rPr>
      <w:rFonts w:ascii="Arial" w:hAnsi="Arial"/>
      <w:sz w:val="22"/>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MessageHeader">
    <w:name w:val="Message Header"/>
    <w:basedOn w:val="Normal"/>
    <w:link w:val="MessageHeaderChar"/>
    <w:unhideWhenUsed/>
    <w:rsid w:val="00CD695D"/>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BodyTextChar">
    <w:name w:val="Body Text Char"/>
    <w:basedOn w:val="DefaultParagraphFont"/>
    <w:link w:val="BodyText"/>
    <w:rsid w:val="00CD695D"/>
  </w:style>
  <w:style w:type="character" w:customStyle="1" w:styleId="MessageHeaderChar">
    <w:name w:val="Message Header Char"/>
    <w:basedOn w:val="DefaultParagraphFont"/>
    <w:link w:val="MessageHeader"/>
    <w:rsid w:val="00CD695D"/>
    <w:rPr>
      <w:rFonts w:asciiTheme="majorHAnsi" w:eastAsiaTheme="majorEastAsia" w:hAnsiTheme="majorHAnsi" w:cstheme="majorBidi"/>
      <w:shd w:val="pct20" w:color="auto" w:fill="auto"/>
    </w:rPr>
  </w:style>
  <w:style w:type="paragraph" w:styleId="NoSpacing">
    <w:name w:val="No Spacing"/>
    <w:rsid w:val="00CD695D"/>
    <w:pPr>
      <w:spacing w:after="0"/>
    </w:pPr>
  </w:style>
  <w:style w:type="paragraph" w:styleId="Header">
    <w:name w:val="header"/>
    <w:basedOn w:val="Normal"/>
    <w:link w:val="HeaderChar"/>
    <w:unhideWhenUsed/>
    <w:rsid w:val="00CD695D"/>
  </w:style>
  <w:style w:type="character" w:customStyle="1" w:styleId="HeaderChar">
    <w:name w:val="Header Char"/>
    <w:basedOn w:val="DefaultParagraphFont"/>
    <w:link w:val="Header"/>
    <w:rsid w:val="00CD695D"/>
    <w:rPr>
      <w:rFonts w:ascii="Arial" w:hAnsi="Arial"/>
      <w:sz w:val="22"/>
    </w:rPr>
  </w:style>
  <w:style w:type="character" w:styleId="LineNumber">
    <w:name w:val="line number"/>
    <w:basedOn w:val="DefaultParagraphFont"/>
    <w:semiHidden/>
    <w:unhideWhenUsed/>
    <w:rsid w:val="00645317"/>
  </w:style>
  <w:style w:type="paragraph" w:styleId="Footer">
    <w:name w:val="footer"/>
    <w:basedOn w:val="Normal"/>
    <w:link w:val="FooterChar"/>
    <w:unhideWhenUsed/>
    <w:rsid w:val="00645317"/>
    <w:pPr>
      <w:tabs>
        <w:tab w:val="center" w:pos="4680"/>
        <w:tab w:val="right" w:pos="9360"/>
      </w:tabs>
      <w:spacing w:after="0" w:line="240" w:lineRule="auto"/>
    </w:pPr>
  </w:style>
  <w:style w:type="character" w:customStyle="1" w:styleId="FooterChar">
    <w:name w:val="Footer Char"/>
    <w:basedOn w:val="DefaultParagraphFont"/>
    <w:link w:val="Footer"/>
    <w:rsid w:val="00645317"/>
    <w:rPr>
      <w:rFonts w:ascii="Arial" w:hAnsi="Arial"/>
      <w:sz w:val="22"/>
    </w:rPr>
  </w:style>
  <w:style w:type="character" w:styleId="PageNumber">
    <w:name w:val="page number"/>
    <w:basedOn w:val="DefaultParagraphFont"/>
    <w:semiHidden/>
    <w:unhideWhenUsed/>
    <w:rsid w:val="00645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cell.2015.04.004" TargetMode="External"/><Relationship Id="rId18" Type="http://schemas.openxmlformats.org/officeDocument/2006/relationships/hyperlink" Target="https://doi.org/10.1101/gr.160374.113" TargetMode="External"/><Relationship Id="rId26" Type="http://schemas.openxmlformats.org/officeDocument/2006/relationships/hyperlink" Target="https://doi.org/10.1016/j.molcel.2020.03.003" TargetMode="External"/><Relationship Id="rId3" Type="http://schemas.openxmlformats.org/officeDocument/2006/relationships/settings" Target="settings.xml"/><Relationship Id="rId21" Type="http://schemas.openxmlformats.org/officeDocument/2006/relationships/hyperlink" Target="https://doi.org/10.1126/science.aaz3418" TargetMode="External"/><Relationship Id="rId34" Type="http://schemas.openxmlformats.org/officeDocument/2006/relationships/fontTable" Target="fontTable.xml"/><Relationship Id="rId7" Type="http://schemas.openxmlformats.org/officeDocument/2006/relationships/hyperlink" Target="mailto:stilianoudasc@mymail.vcu.edu" TargetMode="External"/><Relationship Id="rId12" Type="http://schemas.openxmlformats.org/officeDocument/2006/relationships/hyperlink" Target="https://github.com/dozmorovlab/preciseTAD" TargetMode="External"/><Relationship Id="rId17" Type="http://schemas.openxmlformats.org/officeDocument/2006/relationships/hyperlink" Target="https://doi.org/10.1186/s13059-018-1596-9" TargetMode="External"/><Relationship Id="rId25" Type="http://schemas.openxmlformats.org/officeDocument/2006/relationships/hyperlink" Target="https://doi.org/10.1038/nature21711"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doi.org/10.1111/j.1474-9726.2007.00270.x" TargetMode="External"/><Relationship Id="rId20" Type="http://schemas.openxmlformats.org/officeDocument/2006/relationships/hyperlink" Target="https://doi.org/10.1016/j.ceb.2019.05.001" TargetMode="External"/><Relationship Id="rId29" Type="http://schemas.openxmlformats.org/officeDocument/2006/relationships/hyperlink" Target="https://doi.org/10.1016/j.cell.2016.11.00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zmorovlab.github.io/preciseTAD/" TargetMode="External"/><Relationship Id="rId24" Type="http://schemas.openxmlformats.org/officeDocument/2006/relationships/hyperlink" Target="https://doi.org/10.1038/s41598-018-23276-8"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10.1016/j.cell.2018.08.005" TargetMode="External"/><Relationship Id="rId23" Type="http://schemas.openxmlformats.org/officeDocument/2006/relationships/hyperlink" Target="https://doi.org/10.1186/s13059-015-0661-x" TargetMode="External"/><Relationship Id="rId28" Type="http://schemas.openxmlformats.org/officeDocument/2006/relationships/hyperlink" Target="http://biorxiv.org/content/early/2020/07/01/2020.07.01.182089.abstract" TargetMode="External"/><Relationship Id="rId10" Type="http://schemas.openxmlformats.org/officeDocument/2006/relationships/hyperlink" Target="https://bioconductor.org/packages/preciseTAD" TargetMode="External"/><Relationship Id="rId19" Type="http://schemas.openxmlformats.org/officeDocument/2006/relationships/hyperlink" Target="https://doi.org/10.1016/j.molcel.2010.05.004" TargetMode="External"/><Relationship Id="rId31" Type="http://schemas.openxmlformats.org/officeDocument/2006/relationships/hyperlink" Target="https://doi.org/10.1093/nar/gkw1134" TargetMode="External"/><Relationship Id="rId4" Type="http://schemas.openxmlformats.org/officeDocument/2006/relationships/webSettings" Target="webSettings.xml"/><Relationship Id="rId9" Type="http://schemas.openxmlformats.org/officeDocument/2006/relationships/hyperlink" Target="mailto:mikhail.dozmorov@vcuhealth.org" TargetMode="External"/><Relationship Id="rId14" Type="http://schemas.openxmlformats.org/officeDocument/2006/relationships/hyperlink" Target="https://doi.org/10.1038/nature19800" TargetMode="External"/><Relationship Id="rId22" Type="http://schemas.openxmlformats.org/officeDocument/2006/relationships/hyperlink" Target="https://doi.org/10.1186/s12859-020-03652-w" TargetMode="External"/><Relationship Id="rId27" Type="http://schemas.openxmlformats.org/officeDocument/2006/relationships/hyperlink" Target="https://doi.org/10.1101/2020.07.01.182089" TargetMode="External"/><Relationship Id="rId30" Type="http://schemas.openxmlformats.org/officeDocument/2006/relationships/hyperlink" Target="https://doi.org/10.1186/s13059-020-01977-6" TargetMode="External"/><Relationship Id="rId35" Type="http://schemas.openxmlformats.org/officeDocument/2006/relationships/theme" Target="theme/theme1.xml"/><Relationship Id="rId8" Type="http://schemas.openxmlformats.org/officeDocument/2006/relationships/hyperlink" Target="mailto:mikhail.dozmorov@vcuhealt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38</Pages>
  <Words>10419</Words>
  <Characters>59391</Characters>
  <Application>Microsoft Office Word</Application>
  <DocSecurity>0</DocSecurity>
  <Lines>494</Lines>
  <Paragraphs>139</Paragraphs>
  <ScaleCrop>false</ScaleCrop>
  <Company/>
  <LinksUpToDate>false</LinksUpToDate>
  <CharactersWithSpaces>69671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preciseTAD: A machine learning framework for precise 3D domain boundary prediction at base-level resolution</dc:title>
  <dc:creator>Spiro Stilianoudakis</dc:creator>
  <cp:keywords/>
  <cp:lastModifiedBy>Spiro Stilianoudakis</cp:lastModifiedBy>
  <cp:revision>2</cp:revision>
  <dcterms:created xsi:type="dcterms:W3CDTF">2020-09-27T16:16:00Z</dcterms:created>
  <dcterms:modified xsi:type="dcterms:W3CDTF">2020-09-27T16:16:00Z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References/references.bib</vt:lpwstr>
  </property>
  <property fmtid="{D5CDD505-2E9C-101B-9397-08002B2CF9AE}" pid="3" name="csl">
    <vt:lpwstr>styles.ref/genomebiology.csl</vt:lpwstr>
  </property>
  <property fmtid="{D5CDD505-2E9C-101B-9397-08002B2CF9AE}" pid="4" name="output">
    <vt:lpwstr/>
  </property>
</Properties>
</file>