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E1E41"/>
          <w:sz w:val="72"/>
        </w:rPr>
        <w:t>tanda.</w:t>
      </w:r>
    </w:p>
    <w:p>
      <w:pPr>
        <w:jc w:val="center"/>
      </w:pPr>
      <w:r>
        <w:rPr>
          <w:b/>
        </w:rPr>
        <w:t>MARKETING REQUIREMENTS DOCUMENT</w:t>
      </w:r>
    </w:p>
    <w:p>
      <w:pPr>
        <w:jc w:val="center"/>
      </w:pPr>
      <w:r>
        <w:t>MRD v1.0  |  Founder-aligned planning document  |  October 2026</w:t>
      </w:r>
    </w:p>
    <w:p>
      <w:r>
        <w:t>Scope: U.S. consumer fintech launch in California and Texas. Based on the finalized TANDA product requirements and founder-supplied Mexican folk-art visual references. This is a marketing plan, not a claim of live availability, signed partnerships, regulatory approval, or validated demand.</w:t>
      </w:r>
    </w:p>
    <w:p>
      <w:pPr>
        <w:pStyle w:val="Heading1"/>
      </w:pPr>
      <w:r>
        <w:t>1. Executive marketing mandate</w:t>
      </w:r>
    </w:p>
    <w:p>
      <w:r>
        <w:t>Introduce TANDA as a modern, inclusive everyday banking experience with a proudly Mexican/Latino cultural identity. The brand should feel like the warmth and energy of a neighborhood mercado, panadería, and community gathering place while conveying the reliability, clarity, and care expected from financial services.</w:t>
      </w:r>
    </w:p>
    <w:p>
      <w:r>
        <w:t>Three equally important pillars: (1) simple, bilingual and accessible banking; (2) transparent fees and useful everyday value; (3) cultural recognition, community trust, and belonging. The product is open to customers of every background.</w:t>
      </w:r>
    </w:p>
    <w:p>
      <w:pPr>
        <w:pStyle w:val="Heading1"/>
      </w:pPr>
      <w:r>
        <w:t>2. Business objectives and marketing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Marketing requirement / evidence</w:t>
            </w:r>
          </w:p>
        </w:tc>
      </w:tr>
      <w:tr>
        <w:tc>
          <w:tcPr>
            <w:tcW w:type="dxa" w:w="4320"/>
          </w:tcPr>
          <w:p>
            <w:r>
              <w:t>Awareness</w:t>
            </w:r>
          </w:p>
        </w:tc>
        <w:tc>
          <w:tcPr>
            <w:tcW w:type="dxa" w:w="4320"/>
          </w:tcPr>
          <w:p>
            <w:r>
              <w:t>Build aided and unaided awareness among priority CA/TX audiences; track by region and language.</w:t>
            </w:r>
          </w:p>
        </w:tc>
      </w:tr>
      <w:tr>
        <w:tc>
          <w:tcPr>
            <w:tcW w:type="dxa" w:w="4320"/>
          </w:tcPr>
          <w:p>
            <w:r>
              <w:t>Trust</w:t>
            </w:r>
          </w:p>
        </w:tc>
        <w:tc>
          <w:tcPr>
            <w:tcW w:type="dxa" w:w="4320"/>
          </w:tcPr>
          <w:p>
            <w:r>
              <w:t>Communicate the fintech/partner-bank relationship accurately; measure understanding and confidence.</w:t>
            </w:r>
          </w:p>
        </w:tc>
      </w:tr>
      <w:tr>
        <w:tc>
          <w:tcPr>
            <w:tcW w:type="dxa" w:w="4320"/>
          </w:tcPr>
          <w:p>
            <w:r>
              <w:t>Acquisition</w:t>
            </w:r>
          </w:p>
        </w:tc>
        <w:tc>
          <w:tcPr>
            <w:tcW w:type="dxa" w:w="4320"/>
          </w:tcPr>
          <w:p>
            <w:r>
              <w:t>Convert qualified interest to compliant applications and approved, funded accounts.</w:t>
            </w:r>
          </w:p>
        </w:tc>
      </w:tr>
      <w:tr>
        <w:tc>
          <w:tcPr>
            <w:tcW w:type="dxa" w:w="4320"/>
          </w:tcPr>
          <w:p>
            <w:r>
              <w:t>Activation</w:t>
            </w:r>
          </w:p>
        </w:tc>
        <w:tc>
          <w:tcPr>
            <w:tcW w:type="dxa" w:w="4320"/>
          </w:tcPr>
          <w:p>
            <w:r>
              <w:t>Drive first funding, first debit-card use, first savings goal, and successful support discovery.</w:t>
            </w:r>
          </w:p>
        </w:tc>
      </w:tr>
      <w:tr>
        <w:tc>
          <w:tcPr>
            <w:tcW w:type="dxa" w:w="4320"/>
          </w:tcPr>
          <w:p>
            <w:r>
              <w:t>Retention</w:t>
            </w:r>
          </w:p>
        </w:tc>
        <w:tc>
          <w:tcPr>
            <w:tcW w:type="dxa" w:w="4320"/>
          </w:tcPr>
          <w:p>
            <w:r>
              <w:t>Encourage useful recurring behaviors without pressuring customers to spend or borrow.</w:t>
            </w:r>
          </w:p>
        </w:tc>
      </w:tr>
      <w:tr>
        <w:tc>
          <w:tcPr>
            <w:tcW w:type="dxa" w:w="4320"/>
          </w:tcPr>
          <w:p>
            <w:r>
              <w:t>Community</w:t>
            </w:r>
          </w:p>
        </w:tc>
        <w:tc>
          <w:tcPr>
            <w:tcW w:type="dxa" w:w="4320"/>
          </w:tcPr>
          <w:p>
            <w:r>
              <w:t>Build meaningful merchant, artist, and local organization partnerships with documented benefits.</w:t>
            </w:r>
          </w:p>
        </w:tc>
      </w:tr>
    </w:tbl>
    <w:p>
      <w:r>
        <w:t>Numeric targets, spend, CAC/LTV assumptions, and launch dates remain proposed planning inputs and require finance, partner, and founder sign-off.</w:t>
      </w:r>
    </w:p>
    <w:p>
      <w:pPr>
        <w:pStyle w:val="Heading1"/>
      </w:pPr>
      <w:r>
        <w:t>3. Audience and customer insights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Audience</w:t>
            </w:r>
          </w:p>
        </w:tc>
        <w:tc>
          <w:tcPr>
            <w:tcW w:type="dxa" w:w="2880"/>
          </w:tcPr>
          <w:p>
            <w:r>
              <w:t>Primary need</w:t>
            </w:r>
          </w:p>
        </w:tc>
        <w:tc>
          <w:tcPr>
            <w:tcW w:type="dxa" w:w="2880"/>
          </w:tcPr>
          <w:p>
            <w:r>
              <w:t>Message / experience</w:t>
            </w:r>
          </w:p>
        </w:tc>
      </w:tr>
      <w:tr>
        <w:tc>
          <w:tcPr>
            <w:tcW w:type="dxa" w:w="2880"/>
          </w:tcPr>
          <w:p>
            <w:r>
              <w:t>Older Spanish-first customers</w:t>
            </w:r>
          </w:p>
        </w:tc>
        <w:tc>
          <w:tcPr>
            <w:tcW w:type="dxa" w:w="2880"/>
          </w:tcPr>
          <w:p>
            <w:r>
              <w:t>Confidence, readable interfaces, human help</w:t>
            </w:r>
          </w:p>
        </w:tc>
        <w:tc>
          <w:tcPr>
            <w:tcW w:type="dxa" w:w="2880"/>
          </w:tcPr>
          <w:p>
            <w:r>
              <w:t>“Banking you can understand, with help when you need it.”</w:t>
            </w:r>
          </w:p>
        </w:tc>
      </w:tr>
      <w:tr>
        <w:tc>
          <w:tcPr>
            <w:tcW w:type="dxa" w:w="2880"/>
          </w:tcPr>
          <w:p>
            <w:r>
              <w:t>Multigenerational households</w:t>
            </w:r>
          </w:p>
        </w:tc>
        <w:tc>
          <w:tcPr>
            <w:tcW w:type="dxa" w:w="2880"/>
          </w:tcPr>
          <w:p>
            <w:r>
              <w:t>Practical account management and trusted guidance</w:t>
            </w:r>
          </w:p>
        </w:tc>
        <w:tc>
          <w:tcPr>
            <w:tcW w:type="dxa" w:w="2880"/>
          </w:tcPr>
          <w:p>
            <w:r>
              <w:t>Simple individual banking plus eligible joint/family tools; no unapproved access.</w:t>
            </w:r>
          </w:p>
        </w:tc>
      </w:tr>
      <w:tr>
        <w:tc>
          <w:tcPr>
            <w:tcW w:type="dxa" w:w="2880"/>
          </w:tcPr>
          <w:p>
            <w:r>
              <w:t>Students and early-career adults</w:t>
            </w:r>
          </w:p>
        </w:tc>
        <w:tc>
          <w:tcPr>
            <w:tcW w:type="dxa" w:w="2880"/>
          </w:tcPr>
          <w:p>
            <w:r>
              <w:t>Easy onboarding, budgeting, low fees</w:t>
            </w:r>
          </w:p>
        </w:tc>
        <w:tc>
          <w:tcPr>
            <w:tcW w:type="dxa" w:w="2880"/>
          </w:tcPr>
          <w:p>
            <w:r>
              <w:t>Everyday banking, savings automation, and free in-network ATM access.</w:t>
            </w:r>
          </w:p>
        </w:tc>
      </w:tr>
      <w:tr>
        <w:tc>
          <w:tcPr>
            <w:tcW w:type="dxa" w:w="2880"/>
          </w:tcPr>
          <w:p>
            <w:r>
              <w:t>Working households</w:t>
            </w:r>
          </w:p>
        </w:tc>
        <w:tc>
          <w:tcPr>
            <w:tcW w:type="dxa" w:w="2880"/>
          </w:tcPr>
          <w:p>
            <w:r>
              <w:t>Reliable deposits, transfer visibility, transparent pricing</w:t>
            </w:r>
          </w:p>
        </w:tc>
        <w:tc>
          <w:tcPr>
            <w:tcW w:type="dxa" w:w="2880"/>
          </w:tcPr>
          <w:p>
            <w:r>
              <w:t>Free standard ACH; optional fee-based instant transfers; clear timing.</w:t>
            </w:r>
          </w:p>
        </w:tc>
      </w:tr>
      <w:tr>
        <w:tc>
          <w:tcPr>
            <w:tcW w:type="dxa" w:w="2880"/>
          </w:tcPr>
          <w:p>
            <w:r>
              <w:t>Culturally engaged broad audience</w:t>
            </w:r>
          </w:p>
        </w:tc>
        <w:tc>
          <w:tcPr>
            <w:tcW w:type="dxa" w:w="2880"/>
          </w:tcPr>
          <w:p>
            <w:r>
              <w:t>Brand personality without exclusivity</w:t>
            </w:r>
          </w:p>
        </w:tc>
        <w:tc>
          <w:tcPr>
            <w:tcW w:type="dxa" w:w="2880"/>
          </w:tcPr>
          <w:p>
            <w:r>
              <w:t>Distinctive art and community presence; universally accessible product.</w:t>
            </w:r>
          </w:p>
        </w:tc>
      </w:tr>
    </w:tbl>
    <w:p>
      <w:r>
        <w:t>Research requirements: recruit across ages, income bands, language preferences, accessibility needs, and CA/TX geographies. Test cultural resonance and comprehension independently; do not assume ethnicity predicts language or financial behavior.</w:t>
      </w:r>
    </w:p>
    <w:p>
      <w:pPr>
        <w:pStyle w:val="Heading1"/>
      </w:pPr>
      <w:r>
        <w:t>4. Positioning, message hierarchy and voice</w:t>
      </w:r>
    </w:p>
    <w:p>
      <w:pPr>
        <w:pStyle w:val="Heading2"/>
      </w:pPr>
      <w:r>
        <w:t>Core positioning</w:t>
      </w:r>
    </w:p>
    <w:p>
      <w:r>
        <w:t>TANDA makes everyday money management simpler and more welcoming, pairing accessible English/Spanish banking with a bold, community-rooted identity and transparent value.</w:t>
      </w:r>
    </w:p>
    <w:p>
      <w:pPr>
        <w:pStyle w:val="Heading2"/>
      </w:pPr>
      <w:r>
        <w:t>Message hierarchy</w:t>
      </w:r>
    </w:p>
    <w:p>
      <w:pPr>
        <w:pStyle w:val="ListBullet"/>
      </w:pPr>
      <w:r>
        <w:t>Lead with clear product utility and trust; show the cultural personality as a meaningful differentiator, not a substitute for functionality.</w:t>
      </w:r>
    </w:p>
    <w:p>
      <w:pPr>
        <w:pStyle w:val="ListBullet"/>
      </w:pPr>
      <w:r>
        <w:t>Explain free standard ACH transfers, free in-network ATM withdrawals, savings goals, and debit-card access precisely and with eligibility qualifiers.</w:t>
      </w:r>
    </w:p>
    <w:p>
      <w:pPr>
        <w:pStyle w:val="ListBullet"/>
      </w:pPr>
      <w:r>
        <w:t>Explain TANDA Assist, TANDA Shield, Trusted Helper, and human support without implying AI can authorize transactions or that fraud can always be prevented.</w:t>
      </w:r>
    </w:p>
    <w:p>
      <w:pPr>
        <w:pStyle w:val="ListBullet"/>
      </w:pPr>
      <w:r>
        <w:t>Describe TANDA Spot as up to $50 fee-free overdraft coverage for eligible users; never suggest guaranteed approval or unlimited overdrafts.</w:t>
      </w:r>
    </w:p>
    <w:p>
      <w:pPr>
        <w:pStyle w:val="ListBullet"/>
      </w:pPr>
      <w:r>
        <w:t>Promote TANDA+ as optional at $7.99/month, with a proposed waiver for $1,000 qualifying monthly direct deposits, subject to final qualification and billing terms.</w:t>
      </w:r>
    </w:p>
    <w:p>
      <w:pPr>
        <w:pStyle w:val="Heading2"/>
      </w:pPr>
      <w:r>
        <w:t>Brand voice</w:t>
      </w:r>
    </w:p>
    <w:p>
      <w:r>
        <w:t>Warm, bold, optimistic, and culturally fluent in campaigns; precise, plain-language, and reassuring in financial terms, support, security alerts, and disclosures. Spanglish may be used selectively in campaigns, never at the expense of comprehension. Professional human translation and transcreation are required.</w:t>
      </w:r>
    </w:p>
    <w:p>
      <w:pPr>
        <w:pStyle w:val="Heading1"/>
      </w:pPr>
      <w:r>
        <w:t>5. Visual identity and creative requirements</w:t>
      </w:r>
    </w:p>
    <w:p>
      <w:pPr>
        <w:pStyle w:val="ListBullet"/>
      </w:pPr>
      <w:r>
        <w:t>Lowercase “tanda.” wordmark and a standalone recognizable mark. Develop a reproducible identity for small mobile icons, ATM locator, cards, and signage.</w:t>
      </w:r>
    </w:p>
    <w:p>
      <w:pPr>
        <w:pStyle w:val="ListBullet"/>
      </w:pPr>
      <w:r>
        <w:t>Creative vocabulary: vivid folk-art florals, colorful tile-inspired geometric patterns, botanical scrollwork, market-inspired color, papel picado rhythm, and commissioned contemporary Mexican illustration.</w:t>
      </w:r>
    </w:p>
    <w:p>
      <w:pPr>
        <w:pStyle w:val="ListBullet"/>
      </w:pPr>
      <w:r>
        <w:t>Palette direction: saturated reds, pinks, greens, cobalt/turquoise, orange, yellow, and warm cream; use a controlled, accessible interface palette for account screens.</w:t>
      </w:r>
    </w:p>
    <w:p>
      <w:pPr>
        <w:pStyle w:val="ListBullet"/>
      </w:pPr>
      <w:r>
        <w:t>Cards: an accessible standard design, vibrant patterned collections, and potential premium artist collaborations; designs must accommodate network/issuer marks and legible card details.</w:t>
      </w:r>
    </w:p>
    <w:p>
      <w:pPr>
        <w:pStyle w:val="ListBullet"/>
      </w:pPr>
      <w:r>
        <w:t>Use calavera imagery sensitively and contextually; avoid reducing Mexican identity to Día de Muertos alone.</w:t>
      </w:r>
    </w:p>
    <w:p>
      <w:pPr>
        <w:pStyle w:val="ListBullet"/>
      </w:pPr>
      <w:r>
        <w:t>Do not copy the supplied paintings, stock watermarked art, or the “Mexican Express” card reference. Obtain original commissions or licenses, verify artist attribution and cultural appropriateness.</w:t>
      </w:r>
    </w:p>
    <w:p>
      <w:pPr>
        <w:pStyle w:val="Heading2"/>
      </w:pPr>
      <w:r>
        <w:t>Reference interpretation</w:t>
      </w:r>
    </w:p>
    <w:p>
      <w:r>
        <w:t>Founder references span expressive painted portraiture and botanical color, hand-painted calaveras, symmetric floral folk art, modular tile graphics, dark-ground ornamental flowers, and an ornate metallic card concept. They are moodboard inspiration, not cleared production assets.</w:t>
      </w:r>
    </w:p>
    <w:p>
      <w:pPr>
        <w:pStyle w:val="Heading1"/>
      </w:pPr>
      <w:r>
        <w:t>6. Channel and campaign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Required role</w:t>
            </w:r>
          </w:p>
        </w:tc>
        <w:tc>
          <w:tcPr>
            <w:tcW w:type="dxa" w:w="2880"/>
          </w:tcPr>
          <w:p>
            <w:r>
              <w:t>Execution</w:t>
            </w:r>
          </w:p>
        </w:tc>
      </w:tr>
      <w:tr>
        <w:tc>
          <w:tcPr>
            <w:tcW w:type="dxa" w:w="2880"/>
          </w:tcPr>
          <w:p>
            <w:r>
              <w:t>TikTok / Instagram / Reels</w:t>
            </w:r>
          </w:p>
        </w:tc>
        <w:tc>
          <w:tcPr>
            <w:tcW w:type="dxa" w:w="2880"/>
          </w:tcPr>
          <w:p>
            <w:r>
              <w:t>Awareness and relatable education</w:t>
            </w:r>
          </w:p>
        </w:tc>
        <w:tc>
          <w:tcPr>
            <w:tcW w:type="dxa" w:w="2880"/>
          </w:tcPr>
          <w:p>
            <w:r>
              <w:t>Bilingual short-form explainers, product demos, community stories; disclose sponsorships.</w:t>
            </w:r>
          </w:p>
        </w:tc>
      </w:tr>
      <w:tr>
        <w:tc>
          <w:tcPr>
            <w:tcW w:type="dxa" w:w="2880"/>
          </w:tcPr>
          <w:p>
            <w:r>
              <w:t>YouTube / search / website</w:t>
            </w:r>
          </w:p>
        </w:tc>
        <w:tc>
          <w:tcPr>
            <w:tcW w:type="dxa" w:w="2880"/>
          </w:tcPr>
          <w:p>
            <w:r>
              <w:t>Consideration and trust</w:t>
            </w:r>
          </w:p>
        </w:tc>
        <w:tc>
          <w:tcPr>
            <w:tcW w:type="dxa" w:w="2880"/>
          </w:tcPr>
          <w:p>
            <w:r>
              <w:t>Longer walkthroughs, pricing/eligibility pages, comparison content with substantiation.</w:t>
            </w:r>
          </w:p>
        </w:tc>
      </w:tr>
      <w:tr>
        <w:tc>
          <w:tcPr>
            <w:tcW w:type="dxa" w:w="2880"/>
          </w:tcPr>
          <w:p>
            <w:r>
              <w:t>Bilingual radio and local media</w:t>
            </w:r>
          </w:p>
        </w:tc>
        <w:tc>
          <w:tcPr>
            <w:tcW w:type="dxa" w:w="2880"/>
          </w:tcPr>
          <w:p>
            <w:r>
              <w:t>Reach across generations</w:t>
            </w:r>
          </w:p>
        </w:tc>
        <w:tc>
          <w:tcPr>
            <w:tcW w:type="dxa" w:w="2880"/>
          </w:tcPr>
          <w:p>
            <w:r>
              <w:t>Spanish and English creative with tested pronunciation, clarity and disclosures.</w:t>
            </w:r>
          </w:p>
        </w:tc>
      </w:tr>
      <w:tr>
        <w:tc>
          <w:tcPr>
            <w:tcW w:type="dxa" w:w="2880"/>
          </w:tcPr>
          <w:p>
            <w:r>
              <w:t>Outdoor / transit</w:t>
            </w:r>
          </w:p>
        </w:tc>
        <w:tc>
          <w:tcPr>
            <w:tcW w:type="dxa" w:w="2880"/>
          </w:tcPr>
          <w:p>
            <w:r>
              <w:t>Local recognition</w:t>
            </w:r>
          </w:p>
        </w:tc>
        <w:tc>
          <w:tcPr>
            <w:tcW w:type="dxa" w:w="2880"/>
          </w:tcPr>
          <w:p>
            <w:r>
              <w:t>CA/TX pilots near relevant community corridors, with measurable landing pages.</w:t>
            </w:r>
          </w:p>
        </w:tc>
      </w:tr>
      <w:tr>
        <w:tc>
          <w:tcPr>
            <w:tcW w:type="dxa" w:w="2880"/>
          </w:tcPr>
          <w:p>
            <w:r>
              <w:t>Community events</w:t>
            </w:r>
          </w:p>
        </w:tc>
        <w:tc>
          <w:tcPr>
            <w:tcW w:type="dxa" w:w="2880"/>
          </w:tcPr>
          <w:p>
            <w:r>
              <w:t>Trust-building and education</w:t>
            </w:r>
          </w:p>
        </w:tc>
        <w:tc>
          <w:tcPr>
            <w:tcW w:type="dxa" w:w="2880"/>
          </w:tcPr>
          <w:p>
            <w:r>
              <w:t>Merchant pop-ups, financial-literacy workshops, accessibility demos; avoid collecting sensitive data publicly.</w:t>
            </w:r>
          </w:p>
        </w:tc>
      </w:tr>
      <w:tr>
        <w:tc>
          <w:tcPr>
            <w:tcW w:type="dxa" w:w="2880"/>
          </w:tcPr>
          <w:p>
            <w:r>
              <w:t>Creators and artists</w:t>
            </w:r>
          </w:p>
        </w:tc>
        <w:tc>
          <w:tcPr>
            <w:tcW w:type="dxa" w:w="2880"/>
          </w:tcPr>
          <w:p>
            <w:r>
              <w:t>Authentic cultural storytelling</w:t>
            </w:r>
          </w:p>
        </w:tc>
        <w:tc>
          <w:tcPr>
            <w:tcW w:type="dxa" w:w="2880"/>
          </w:tcPr>
          <w:p>
            <w:r>
              <w:t>Paid partnerships, original art, clear FTC disclosures, vetted claims.</w:t>
            </w:r>
          </w:p>
        </w:tc>
      </w:tr>
      <w:tr>
        <w:tc>
          <w:tcPr>
            <w:tcW w:type="dxa" w:w="2880"/>
          </w:tcPr>
          <w:p>
            <w:r>
              <w:t>Referrals</w:t>
            </w:r>
          </w:p>
        </w:tc>
        <w:tc>
          <w:tcPr>
            <w:tcW w:type="dxa" w:w="2880"/>
          </w:tcPr>
          <w:p>
            <w:r>
              <w:t>Qualified customer growth</w:t>
            </w:r>
          </w:p>
        </w:tc>
        <w:tc>
          <w:tcPr>
            <w:tcW w:type="dxa" w:w="2880"/>
          </w:tcPr>
          <w:p>
            <w:r>
              <w:t>Controlled, transparent incentives after fraud/compliance review; no rewards promise until approved.</w:t>
            </w:r>
          </w:p>
        </w:tc>
      </w:tr>
      <w:tr>
        <w:tc>
          <w:tcPr>
            <w:tcW w:type="dxa" w:w="2880"/>
          </w:tcPr>
          <w:p>
            <w:r>
              <w:t>CRM: email / push / SMS</w:t>
            </w:r>
          </w:p>
        </w:tc>
        <w:tc>
          <w:tcPr>
            <w:tcW w:type="dxa" w:w="2880"/>
          </w:tcPr>
          <w:p>
            <w:r>
              <w:t>Onboarding and retention</w:t>
            </w:r>
          </w:p>
        </w:tc>
        <w:tc>
          <w:tcPr>
            <w:tcW w:type="dxa" w:w="2880"/>
          </w:tcPr>
          <w:p>
            <w:r>
              <w:t>Opt-in and preference controls; useful education, fraud-safe language, accessibility.</w:t>
            </w:r>
          </w:p>
        </w:tc>
      </w:tr>
    </w:tbl>
    <w:p>
      <w:pPr>
        <w:pStyle w:val="Heading1"/>
      </w:pPr>
      <w:r>
        <w:t>7. Campaign architecture and launch phases</w:t>
      </w:r>
    </w:p>
    <w:p>
      <w:pPr>
        <w:pStyle w:val="Heading2"/>
      </w:pPr>
      <w:r>
        <w:t>Phase 0 — Research and validation</w:t>
      </w:r>
    </w:p>
    <w:p>
      <w:r>
        <w:t>Conduct concept, comprehension, brand, and usability testing; verify name/trademark and visual asset rights; approve claims matrix and disclosures; secure marketing partner review.</w:t>
      </w:r>
    </w:p>
    <w:p>
      <w:pPr>
        <w:pStyle w:val="Heading2"/>
      </w:pPr>
      <w:r>
        <w:t>Phase 1 — Community groundwork</w:t>
      </w:r>
    </w:p>
    <w:p>
      <w:r>
        <w:t>Build relationships with local businesses, community organizations, bilingual educators, and artists in CA/TX. Produce bilingual educational content and waitlist materials without suggesting accounts are available.</w:t>
      </w:r>
    </w:p>
    <w:p>
      <w:pPr>
        <w:pStyle w:val="Heading2"/>
      </w:pPr>
      <w:r>
        <w:t>Phase 2 — Invite-only pilot</w:t>
      </w:r>
    </w:p>
    <w:p>
      <w:r>
        <w:t>Recruit a diverse multigenerational cohort in California and Texas. Test onboarding, funding comprehension, ATM network clarity, TANDA Assist, support, family/trusted-helper boundaries, TANDA+ pricing, and Rewards eligibility.</w:t>
      </w:r>
    </w:p>
    <w:p>
      <w:pPr>
        <w:pStyle w:val="Heading2"/>
      </w:pPr>
      <w:r>
        <w:t>Phase 3 — Public launch</w:t>
      </w:r>
    </w:p>
    <w:p>
      <w:r>
        <w:t>Release only after bank/program sign-off and readiness of all founder-committed launch modules across iOS, Android, and full web. Coordinate paid, earned, owned, and community activations. Do not announce an unapproved launch date.</w:t>
      </w:r>
    </w:p>
    <w:p>
      <w:pPr>
        <w:pStyle w:val="Heading2"/>
      </w:pPr>
      <w:r>
        <w:t>Phase 4 — Optimization</w:t>
      </w:r>
    </w:p>
    <w:p>
      <w:r>
        <w:t>Improve campaigns by verified activation, retention, trust, accessibility outcomes, and unit economics. Expand creative variants without changing approved claims.</w:t>
      </w:r>
    </w:p>
    <w:p>
      <w:pPr>
        <w:pStyle w:val="Heading1"/>
      </w:pPr>
      <w:r>
        <w:t>8. Website, conversion, and lifecycle deliverables</w:t>
      </w:r>
    </w:p>
    <w:p>
      <w:pPr>
        <w:pStyle w:val="ListBullet"/>
      </w:pPr>
      <w:r>
        <w:t>Bilingual marketing website with transparent pricing, product explanations, accessible FAQ, privacy/consent information, partner-bank disclosure, and support contact paths.</w:t>
      </w:r>
    </w:p>
    <w:p>
      <w:pPr>
        <w:pStyle w:val="ListBullet"/>
      </w:pPr>
      <w:r>
        <w:t>Prelaunch waitlist and permission-based updates with clear distinction from actual account applications.</w:t>
      </w:r>
    </w:p>
    <w:p>
      <w:pPr>
        <w:pStyle w:val="ListBullet"/>
      </w:pPr>
      <w:r>
        <w:t>Product screenshots/videos for checking, savings, cards, transfers, TANDA Assist, Shield, TANDA Family, Rewards, and TANDA+; all must depict implemented functionality.</w:t>
      </w:r>
    </w:p>
    <w:p>
      <w:pPr>
        <w:pStyle w:val="ListBullet"/>
      </w:pPr>
      <w:r>
        <w:t>App store listing packages for iOS and Android; accessibility and language variants; approved screenshots and eligibility notes.</w:t>
      </w:r>
    </w:p>
    <w:p>
      <w:pPr>
        <w:pStyle w:val="ListBullet"/>
      </w:pPr>
      <w:r>
        <w:t>Onboarding education: external account linking via Plaid, ACH timing, optional instant transfer fees, in-network ATM use, savings goals, and card setup.</w:t>
      </w:r>
    </w:p>
    <w:p>
      <w:pPr>
        <w:pStyle w:val="ListBullet"/>
      </w:pPr>
      <w:r>
        <w:t>Retention communications: savings progress, security education, useful product tips, support resources, and membership billing reminders.</w:t>
      </w:r>
    </w:p>
    <w:p>
      <w:pPr>
        <w:pStyle w:val="Heading1"/>
      </w:pPr>
      <w:r>
        <w:t>9. Marketing claims and compliance guardrails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Claim area</w:t>
            </w:r>
          </w:p>
        </w:tc>
        <w:tc>
          <w:tcPr>
            <w:tcW w:type="dxa" w:w="4320"/>
          </w:tcPr>
          <w:p>
            <w:r>
              <w:t>Required guardrail</w:t>
            </w:r>
          </w:p>
        </w:tc>
      </w:tr>
      <w:tr>
        <w:tc>
          <w:tcPr>
            <w:tcW w:type="dxa" w:w="4320"/>
          </w:tcPr>
          <w:p>
            <w:r>
              <w:t>Bank status / FDIC</w:t>
            </w:r>
          </w:p>
        </w:tc>
        <w:tc>
          <w:tcPr>
            <w:tcW w:type="dxa" w:w="4320"/>
          </w:tcPr>
          <w:p>
            <w:r>
              <w:t>Clearly identify TANDA as a fintech, not a bank; name the actual FDIC-insured partner bank only when contracted and approved. No unqualified “FDIC insured TANDA” claim.</w:t>
            </w:r>
          </w:p>
        </w:tc>
      </w:tr>
      <w:tr>
        <w:tc>
          <w:tcPr>
            <w:tcW w:type="dxa" w:w="4320"/>
          </w:tcPr>
          <w:p>
            <w:r>
              <w:t>Fees</w:t>
            </w:r>
          </w:p>
        </w:tc>
        <w:tc>
          <w:tcPr>
            <w:tcW w:type="dxa" w:w="4320"/>
          </w:tcPr>
          <w:p>
            <w:r>
              <w:t>Disclose conditions for free in-network ATM use, out-of-network fees, and optional instant transfer charges.</w:t>
            </w:r>
          </w:p>
        </w:tc>
      </w:tr>
      <w:tr>
        <w:tc>
          <w:tcPr>
            <w:tcW w:type="dxa" w:w="4320"/>
          </w:tcPr>
          <w:p>
            <w:r>
              <w:t>TANDA Spot</w:t>
            </w:r>
          </w:p>
        </w:tc>
        <w:tc>
          <w:tcPr>
            <w:tcW w:type="dxa" w:w="4320"/>
          </w:tcPr>
          <w:p>
            <w:r>
              <w:t>“Up to $50,” eligible users only, subject to terms; no implication of guaranteed overdraft availability.</w:t>
            </w:r>
          </w:p>
        </w:tc>
      </w:tr>
      <w:tr>
        <w:tc>
          <w:tcPr>
            <w:tcW w:type="dxa" w:w="4320"/>
          </w:tcPr>
          <w:p>
            <w:r>
              <w:t>TANDA+</w:t>
            </w:r>
          </w:p>
        </w:tc>
        <w:tc>
          <w:tcPr>
            <w:tcW w:type="dxa" w:w="4320"/>
          </w:tcPr>
          <w:p>
            <w:r>
              <w:t>$7.99/month and $1,000 qualifying direct-deposit waiver only with final approved measurement rules and benefit inventory.</w:t>
            </w:r>
          </w:p>
        </w:tc>
      </w:tr>
      <w:tr>
        <w:tc>
          <w:tcPr>
            <w:tcW w:type="dxa" w:w="4320"/>
          </w:tcPr>
          <w:p>
            <w:r>
              <w:t>Savings yield / cashback</w:t>
            </w:r>
          </w:p>
        </w:tc>
        <w:tc>
          <w:tcPr>
            <w:tcW w:type="dxa" w:w="4320"/>
          </w:tcPr>
          <w:p>
            <w:r>
              <w:t>No rates, percentages, merchant logos, or savings comparisons without substantiation and current contracts.</w:t>
            </w:r>
          </w:p>
        </w:tc>
      </w:tr>
      <w:tr>
        <w:tc>
          <w:tcPr>
            <w:tcW w:type="dxa" w:w="4320"/>
          </w:tcPr>
          <w:p>
            <w:r>
              <w:t>ITIN / eligibility</w:t>
            </w:r>
          </w:p>
        </w:tc>
        <w:tc>
          <w:tcPr>
            <w:tcW w:type="dxa" w:w="4320"/>
          </w:tcPr>
          <w:p>
            <w:r>
              <w:t>No guarantee of approval or account opening; follow bank-approved identity verification criteria.</w:t>
            </w:r>
          </w:p>
        </w:tc>
      </w:tr>
      <w:tr>
        <w:tc>
          <w:tcPr>
            <w:tcW w:type="dxa" w:w="4320"/>
          </w:tcPr>
          <w:p>
            <w:r>
              <w:t>Security / AI</w:t>
            </w:r>
          </w:p>
        </w:tc>
        <w:tc>
          <w:tcPr>
            <w:tcW w:type="dxa" w:w="4320"/>
          </w:tcPr>
          <w:p>
            <w:r>
              <w:t>No absolute fraud-prevention promises; TANDA Assist does not initiate unauthorized money movement.</w:t>
            </w:r>
          </w:p>
        </w:tc>
      </w:tr>
      <w:tr>
        <w:tc>
          <w:tcPr>
            <w:tcW w:type="dxa" w:w="4320"/>
          </w:tcPr>
          <w:p>
            <w:r>
              <w:t>Influencers / privacy</w:t>
            </w:r>
          </w:p>
        </w:tc>
        <w:tc>
          <w:tcPr>
            <w:tcW w:type="dxa" w:w="4320"/>
          </w:tcPr>
          <w:p>
            <w:r>
              <w:t>FTC sponsorship disclosure, consent-based tracking, no disclosure of customer financial data.</w:t>
            </w:r>
          </w:p>
        </w:tc>
      </w:tr>
    </w:tbl>
    <w:p>
      <w:pPr>
        <w:pStyle w:val="Heading1"/>
      </w:pPr>
      <w:r>
        <w:t>10. Success measurement and experiment design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Funnel</w:t>
            </w:r>
          </w:p>
        </w:tc>
        <w:tc>
          <w:tcPr>
            <w:tcW w:type="dxa" w:w="4320"/>
          </w:tcPr>
          <w:p>
            <w:r>
              <w:t>KPIs</w:t>
            </w:r>
          </w:p>
        </w:tc>
      </w:tr>
      <w:tr>
        <w:tc>
          <w:tcPr>
            <w:tcW w:type="dxa" w:w="4320"/>
          </w:tcPr>
          <w:p>
            <w:r>
              <w:t>Reach</w:t>
            </w:r>
          </w:p>
        </w:tc>
        <w:tc>
          <w:tcPr>
            <w:tcW w:type="dxa" w:w="4320"/>
          </w:tcPr>
          <w:p>
            <w:r>
              <w:t>Qualified reach, aided awareness, brand recall, geographic/language distribution.</w:t>
            </w:r>
          </w:p>
        </w:tc>
      </w:tr>
      <w:tr>
        <w:tc>
          <w:tcPr>
            <w:tcW w:type="dxa" w:w="4320"/>
          </w:tcPr>
          <w:p>
            <w:r>
              <w:t>Interest</w:t>
            </w:r>
          </w:p>
        </w:tc>
        <w:tc>
          <w:tcPr>
            <w:tcW w:type="dxa" w:w="4320"/>
          </w:tcPr>
          <w:p>
            <w:r>
              <w:t>Landing-page conversion, education completion, waitlist opt-in, cost per qualified lead.</w:t>
            </w:r>
          </w:p>
        </w:tc>
      </w:tr>
      <w:tr>
        <w:tc>
          <w:tcPr>
            <w:tcW w:type="dxa" w:w="4320"/>
          </w:tcPr>
          <w:p>
            <w:r>
              <w:t>Acquisition</w:t>
            </w:r>
          </w:p>
        </w:tc>
        <w:tc>
          <w:tcPr>
            <w:tcW w:type="dxa" w:w="4320"/>
          </w:tcPr>
          <w:p>
            <w:r>
              <w:t>Application start/complete, verified approval, funded-account conversion, CAC.</w:t>
            </w:r>
          </w:p>
        </w:tc>
      </w:tr>
      <w:tr>
        <w:tc>
          <w:tcPr>
            <w:tcW w:type="dxa" w:w="4320"/>
          </w:tcPr>
          <w:p>
            <w:r>
              <w:t>Activation</w:t>
            </w:r>
          </w:p>
        </w:tc>
        <w:tc>
          <w:tcPr>
            <w:tcW w:type="dxa" w:w="4320"/>
          </w:tcPr>
          <w:p>
            <w:r>
              <w:t>Direct-deposit setup, first funding, card activation, savings goal setup, first eligible transfer.</w:t>
            </w:r>
          </w:p>
        </w:tc>
      </w:tr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Task completion, bilingual comprehension, support resolution, accessibility testing outcomes.</w:t>
            </w:r>
          </w:p>
        </w:tc>
      </w:tr>
      <w:tr>
        <w:tc>
          <w:tcPr>
            <w:tcW w:type="dxa" w:w="4320"/>
          </w:tcPr>
          <w:p>
            <w:r>
              <w:t>Retention</w:t>
            </w:r>
          </w:p>
        </w:tc>
        <w:tc>
          <w:tcPr>
            <w:tcW w:type="dxa" w:w="4320"/>
          </w:tcPr>
          <w:p>
            <w:r>
              <w:t>30/90-day active funded accounts, direct-deposit recurrence, complaint rates, churn.</w:t>
            </w:r>
          </w:p>
        </w:tc>
      </w:tr>
      <w:tr>
        <w:tc>
          <w:tcPr>
            <w:tcW w:type="dxa" w:w="4320"/>
          </w:tcPr>
          <w:p>
            <w:r>
              <w:t>Economics</w:t>
            </w:r>
          </w:p>
        </w:tc>
        <w:tc>
          <w:tcPr>
            <w:tcW w:type="dxa" w:w="4320"/>
          </w:tcPr>
          <w:p>
            <w:r>
              <w:t>Net revenue per active customer, rewards cost, support cost, premium uptake/waiver mix, contribution margin.</w:t>
            </w:r>
          </w:p>
        </w:tc>
      </w:tr>
    </w:tbl>
    <w:p>
      <w:r>
        <w:t>Reporting must segment by region, acquisition channel, language selected, and accessibility-related test cohort where privacy-appropriate. Avoid discriminatory targeting or eligibility proxies. Set target thresholds before paid launch; do not invent benchmark results.</w:t>
      </w:r>
    </w:p>
    <w:p>
      <w:pPr>
        <w:pStyle w:val="Heading1"/>
      </w:pPr>
      <w:r>
        <w:t>11. Ownership, approvals, and dependencies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Founder / brand lead</w:t>
            </w:r>
          </w:p>
        </w:tc>
        <w:tc>
          <w:tcPr>
            <w:tcW w:type="dxa" w:w="4320"/>
          </w:tcPr>
          <w:p>
            <w:r>
              <w:t>Positioning, creative direction, cultural authenticity, final marketing approvals.</w:t>
            </w:r>
          </w:p>
        </w:tc>
      </w:tr>
      <w:tr>
        <w:tc>
          <w:tcPr>
            <w:tcW w:type="dxa" w:w="4320"/>
          </w:tcPr>
          <w:p>
            <w:r>
              <w:t>Growth / marketing</w:t>
            </w:r>
          </w:p>
        </w:tc>
        <w:tc>
          <w:tcPr>
            <w:tcW w:type="dxa" w:w="4320"/>
          </w:tcPr>
          <w:p>
            <w:r>
              <w:t>Channel plan, creative testing, media buying, analytics, campaign calendar.</w:t>
            </w:r>
          </w:p>
        </w:tc>
      </w:tr>
      <w:tr>
        <w:tc>
          <w:tcPr>
            <w:tcW w:type="dxa" w:w="4320"/>
          </w:tcPr>
          <w:p>
            <w:r>
              <w:t>Product / design</w:t>
            </w:r>
          </w:p>
        </w:tc>
        <w:tc>
          <w:tcPr>
            <w:tcW w:type="dxa" w:w="4320"/>
          </w:tcPr>
          <w:p>
            <w:r>
              <w:t>Truthful demos, app/web consistency, accessible bilingual experience.</w:t>
            </w:r>
          </w:p>
        </w:tc>
      </w:tr>
      <w:tr>
        <w:tc>
          <w:tcPr>
            <w:tcW w:type="dxa" w:w="4320"/>
          </w:tcPr>
          <w:p>
            <w:r>
              <w:t>Bank partner / compliance / legal</w:t>
            </w:r>
          </w:p>
        </w:tc>
        <w:tc>
          <w:tcPr>
            <w:tcW w:type="dxa" w:w="4320"/>
          </w:tcPr>
          <w:p>
            <w:r>
              <w:t>Product claims, deposit disclosures, incentive terms, financial promotions, privacy and consent.</w:t>
            </w:r>
          </w:p>
        </w:tc>
      </w:tr>
      <w:tr>
        <w:tc>
          <w:tcPr>
            <w:tcW w:type="dxa" w:w="4320"/>
          </w:tcPr>
          <w:p>
            <w:r>
              <w:t>Customer operations</w:t>
            </w:r>
          </w:p>
        </w:tc>
        <w:tc>
          <w:tcPr>
            <w:tcW w:type="dxa" w:w="4320"/>
          </w:tcPr>
          <w:p>
            <w:r>
              <w:t>Bilingual support readiness, complaint handling, social escalation.</w:t>
            </w:r>
          </w:p>
        </w:tc>
      </w:tr>
      <w:tr>
        <w:tc>
          <w:tcPr>
            <w:tcW w:type="dxa" w:w="4320"/>
          </w:tcPr>
          <w:p>
            <w:r>
              <w:t>Finance / partnerships</w:t>
            </w:r>
          </w:p>
        </w:tc>
        <w:tc>
          <w:tcPr>
            <w:tcW w:type="dxa" w:w="4320"/>
          </w:tcPr>
          <w:p>
            <w:r>
              <w:t>Budget, CAC limits, merchant offers, premium economics, vendor contracts.</w:t>
            </w:r>
          </w:p>
        </w:tc>
      </w:tr>
    </w:tbl>
    <w:p>
      <w:pPr>
        <w:pStyle w:val="Heading1"/>
      </w:pPr>
      <w:r>
        <w:t>12. Acceptance criteria and outstanding decisions</w:t>
      </w:r>
    </w:p>
    <w:p>
      <w:pPr>
        <w:pStyle w:val="ListBullet"/>
      </w:pPr>
      <w:r>
        <w:t>All launch materials available in professionally reviewed English and Spanish; accessibility review completed.</w:t>
      </w:r>
    </w:p>
    <w:p>
      <w:pPr>
        <w:pStyle w:val="ListBullet"/>
      </w:pPr>
      <w:r>
        <w:t>Every financial claim maps to a signed-off product fact, partner approval, and versioned legal disclosure.</w:t>
      </w:r>
    </w:p>
    <w:p>
      <w:pPr>
        <w:pStyle w:val="ListBullet"/>
      </w:pPr>
      <w:r>
        <w:t>Visual assets are original or licensed; trademark and card network rules are cleared.</w:t>
      </w:r>
    </w:p>
    <w:p>
      <w:pPr>
        <w:pStyle w:val="ListBullet"/>
      </w:pPr>
      <w:r>
        <w:t>All promised first-release features are operational before broad public marketing.</w:t>
      </w:r>
    </w:p>
    <w:p>
      <w:pPr>
        <w:pStyle w:val="ListBullet"/>
      </w:pPr>
      <w:r>
        <w:t>Partner bank, ATM network, rewards merchants, TANDA+ benefits, and instant-transfer terms are verified before advertising specifics.</w:t>
      </w:r>
    </w:p>
    <w:p>
      <w:pPr>
        <w:pStyle w:val="ListBullet"/>
      </w:pPr>
      <w:r>
        <w:t>Marketing budget, acquisition economics, launch timeline, numeric targets, and local market mix remain to be validated and signed off.</w:t>
      </w:r>
    </w:p>
    <w:p>
      <w:r>
        <w:t>Explicit exclusions: rotating tandas, pooled savings circles, teen banking, cross-border remittance, lending/credit products beyond approved TANDA Spot, and investing are not first-release marketing promises.</w:t>
      </w:r>
    </w:p>
    <w:sectPr w:rsidR="00FC693F" w:rsidRPr="0006063C" w:rsidSect="00034616">
      <w:footerReference w:type="default" r:id="rId9"/>
      <w:pgSz w:w="12240" w:h="15840"/>
      <w:pgMar w:top="1080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TANDA  •  Marketing Requirements Document  •  Confidential working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E4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BD2A4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