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TANDA | Business Plan</w:t>
      </w:r>
    </w:p>
    <w:p>
      <w:r>
        <w:t>Rebuilt around the approved full launch scope and research findings</w:t>
      </w:r>
    </w:p>
    <w:p>
      <w:r>
        <w:t>Prepared 16 October 2026  |  Concept-stage planning  |  Not a bank-partner approval, legal opinion, or investor offer</w:t>
      </w:r>
    </w:p>
    <w:p>
      <w:pPr>
        <w:pStyle w:val="Heading1"/>
      </w:pPr>
      <w:r>
        <w:t>Executive investment thesis</w:t>
      </w:r>
    </w:p>
    <w:p>
      <w:pPr>
        <w:pStyle w:val="ListBullet"/>
      </w:pPr>
      <w:r>
        <w:t>TANDA proposes an inclusive, bilingual banking experience with an unmistakably Mexican/Latino cultural identity, designed for customers of different ages and backgrounds. The product combines everyday financial utility with accessible help and community trust.</w:t>
      </w:r>
    </w:p>
    <w:p>
      <w:pPr>
        <w:pStyle w:val="ListBullet"/>
      </w:pPr>
      <w:r>
        <w:t>TANDA is a nonbank fintech concept; deposit products would be provided by a contracted FDIC-insured sponsor bank, subject to accurate disclosures and program structure. No sponsor bank, card network, ATM partner or processor has been selected.</w:t>
      </w:r>
    </w:p>
    <w:p>
      <w:pPr>
        <w:pStyle w:val="ListBullet"/>
      </w:pPr>
      <w:r>
        <w:t>Status: concept and product requirements are defined; customer traction, partner commitments, licensing conclusions, revenue assumptions and funding are not validated. Do not imply the product is already live.</w:t>
      </w:r>
    </w:p>
    <w:p>
      <w:pPr>
        <w:pStyle w:val="Heading1"/>
      </w:pPr>
      <w:r>
        <w:t>Problem and evidence</w:t>
      </w:r>
    </w:p>
    <w:p>
      <w:pPr>
        <w:pStyle w:val="ListBullet"/>
      </w:pPr>
      <w:r>
        <w:t>The FDIC's 2023 household survey found 4.2% of U.S. households unbanked and 14.2% underbanked. This supports the relevance of accessible banking, but does not establish TANDA's obtainable market or customer willingness to switch.</w:t>
      </w:r>
    </w:p>
    <w:p>
      <w:pPr>
        <w:pStyle w:val="ListBullet"/>
      </w:pPr>
      <w:r>
        <w:t>Customer discovery must separately validate Spanish-language navigation, family-assistance needs, fees, cash access, trust, and retention; avoid treating Latino identity as equivalent to being underbanked.</w:t>
      </w:r>
    </w:p>
    <w:p>
      <w:pPr>
        <w:pStyle w:val="Heading1"/>
      </w:pPr>
      <w:r>
        <w:t>Product and scope</w:t>
      </w:r>
    </w:p>
    <w:p>
      <w:pPr>
        <w:pStyle w:val="ListBullet"/>
      </w:pPr>
      <w:r>
        <w:t>Initial public release is a comprehensive product, not a stripped-down MVP: checking and savings; direct deposit and external funding; physical/virtual debit; in-network ATM access; savings goals, automation and round-ups; TANDA-to-TANDA transfers; bilingual iOS, Android and web; TANDA Assist; TANDA Shield; Trusted Helper; eligible joint accounts and family budgeting; TANDA+; Rewards; standard ACH; optional paid instant transfers; savings-backed overdraft and eligible TANDA Spot up to $50, all subject to partner/legal feasibility.</w:t>
      </w:r>
    </w:p>
    <w:p>
      <w:pPr>
        <w:pStyle w:val="ListBullet"/>
      </w:pPr>
      <w:r>
        <w:t>Traditional rotating tandas and pooled informal savings circles are excluded. Global remittances, credit, investing, and teen accounts are future independent product lines.</w:t>
      </w:r>
    </w:p>
    <w:p>
      <w:pPr>
        <w:pStyle w:val="Heading1"/>
      </w:pPr>
      <w:r>
        <w:t>Market entry and distribution</w:t>
      </w:r>
    </w:p>
    <w:p>
      <w:pPr>
        <w:pStyle w:val="ListBullet"/>
      </w:pPr>
      <w:r>
        <w:t>Launch markets: California and Texas; first multigenerational bilingual invite-only pilot, then public release after all approved launch capabilities clear quality, partner and legal gates.</w:t>
      </w:r>
    </w:p>
    <w:p>
      <w:pPr>
        <w:pStyle w:val="ListBullet"/>
      </w:pPr>
      <w:r>
        <w:t>Acquisition tests: Latino-owned merchant partnerships, community events, bilingual radio/out-of-home, social creator campaigns and referrals. Track CAC by channel, activation, funded accounts, deposit retention and fraud rather than downloads alone.</w:t>
      </w:r>
    </w:p>
    <w:p>
      <w:pPr>
        <w:pStyle w:val="Heading1"/>
      </w:pPr>
      <w:r>
        <w:t>Revenue and economics</w:t>
      </w:r>
    </w:p>
    <w:p>
      <w:pPr>
        <w:pStyle w:val="ListBullet"/>
      </w:pPr>
      <w:r>
        <w:t>Revenue hypotheses: net debit interchange, bank-program/deposit revenue share if contracted, paid TANDA+ subscriptions ($7.99/month, waived for $1,000 qualifying monthly direct deposits), partner-funded offers and eligible paid instant transfers.</w:t>
      </w:r>
    </w:p>
    <w:p>
      <w:pPr>
        <w:pStyle w:val="ListBullet"/>
      </w:pPr>
      <w:r>
        <w:t>Original model diagnostic: $3.49 monthly revenue vs $7.05 variable cost per active account, or -$3.56 contribution before $305,000 fixed monthly costs. These are draft assumptions, not observed operating results.</w:t>
      </w:r>
    </w:p>
    <w:p>
      <w:pPr>
        <w:pStyle w:val="ListBullet"/>
      </w:pPr>
      <w:r>
        <w:t>A positive contribution path requires credible contracted net interchange, deposit economics, rewards funding, support automation, fraud/loss controls and measured usage. Do not assume growth alone solves negative unit economics.</w:t>
      </w:r>
    </w:p>
    <w:p>
      <w:pPr>
        <w:pStyle w:val="Heading1"/>
      </w:pPr>
      <w:r>
        <w:t>Operating and partner architecture</w:t>
      </w:r>
    </w:p>
    <w:p>
      <w:pPr>
        <w:pStyle w:val="ListBullet"/>
      </w:pPr>
      <w:r>
        <w:t>Sponsor bank owns deposit program and regulated banking functions under contracts; TANDA operates customer-facing experience and allocated servicing tasks; processor/network and ACH/instant rail providers enable transactions. Reconciliation, ledger ownership, dispute management and third-party risk controls must be specified contractually.</w:t>
      </w:r>
    </w:p>
    <w:p>
      <w:pPr>
        <w:pStyle w:val="ListBullet"/>
      </w:pPr>
      <w:r>
        <w:t>Provide bilingual 24/7 live chat and business-hours phone only when staffed and funded. TANDA Assist cannot independently initiate money movement or request secrets. Trusted Helper cannot impersonate an account owner or authorize transfers.</w:t>
      </w:r>
    </w:p>
    <w:p>
      <w:pPr>
        <w:pStyle w:val="Heading1"/>
      </w:pPr>
      <w:r>
        <w:t>Regulatory and consumer protection</w:t>
      </w:r>
    </w:p>
    <w:p>
      <w:pPr>
        <w:pStyle w:val="ListBullet"/>
      </w:pPr>
      <w:r>
        <w:t>Commission specialist legal review for CA/TX regulatory perimeter, BSA/AML/CIP including ITIN policy, Regulation E, bank deposit terms, FDIC representations, data privacy, fraud/elder abuse, card rules, ACH/Nacha, overdraft/TANDA Spot, subscriptions and marketing claims.</w:t>
      </w:r>
    </w:p>
    <w:p>
      <w:pPr>
        <w:pStyle w:val="ListBullet"/>
      </w:pPr>
      <w:r>
        <w:t>Pass-through deposit insurance eligibility depends on actual bank placement and records; TANDA itself is not FDIC-insured. Never claim universal FDIC coverage for funds in transit or nondeposit products.</w:t>
      </w:r>
    </w:p>
    <w:p>
      <w:pPr>
        <w:pStyle w:val="Heading1"/>
      </w:pPr>
      <w:r>
        <w:t>Milestones and financing</w:t>
      </w:r>
    </w:p>
    <w:p>
      <w:pPr>
        <w:pStyle w:val="ListBullet"/>
      </w:pPr>
      <w:r>
        <w:t>Stage 0: freeze requirements and validate interviews, partner RFIs, trademark, and unit economics. Stage 1: prototype and sandbox integrations. Stage 2: bank-approved limited-money pilot in CA/TX. Stage 3: comprehensive public launch when all required capabilities are ready.</w:t>
      </w:r>
    </w:p>
    <w:p>
      <w:pPr>
        <w:pStyle w:val="ListBullet"/>
      </w:pPr>
      <w:r>
        <w:t>Fundraise amount is deliberately TBD until a bottoms-up hiring plan, bank/processor quotes, capital/reserve requirements, downside cash runway and milestone buffer are calculated. The deck must not invent a raise target.</w:t>
      </w:r>
    </w:p>
    <w:p>
      <w:pPr>
        <w:pStyle w:val="Heading1"/>
      </w:pPr>
      <w:r>
        <w:t>Critical decision register</w:t>
      </w:r>
    </w:p>
    <w:p>
      <w:pPr>
        <w:pStyle w:val="ListBullet"/>
      </w:pPr>
      <w:r>
        <w:t>Open: sponsor bank, processor, card network, ATM/cash deposit network, interchange economics, APY, direct-deposit waiver eligibility, TANDA Spot terms and loss assumptions, instant-transfer price, rewards funding, legal scope, headcount, CAC, product launch date and raise size.</w:t>
      </w:r>
    </w:p>
    <w:p>
      <w:pPr>
        <w:pStyle w:val="Heading1"/>
      </w:pPr>
      <w:r>
        <w:t>Primary sources</w:t>
      </w:r>
    </w:p>
    <w:p>
      <w:pPr>
        <w:pStyle w:val="ListBullet"/>
      </w:pPr>
      <w:r>
        <w:t>FDIC 2023 National Survey of Unbanked and Underbanked Households: https://www.fdic.gov/household-survey</w:t>
      </w:r>
    </w:p>
    <w:p>
      <w:pPr>
        <w:pStyle w:val="ListBullet"/>
      </w:pPr>
      <w:r>
        <w:t>FDIC Banking With Third-Party Apps: https://www.fdic.gov/consumer-resource-center/2024-06/banking-third-party-apps</w:t>
      </w:r>
    </w:p>
    <w:p>
      <w:pPr>
        <w:pStyle w:val="ListBullet"/>
      </w:pPr>
      <w:r>
        <w:t>CFPB deposit-insurance payment-app analysis: https://www.consumerfinance.gov/data-research/research-reports/issue-spotlight-analysis-of-deposit-insurance-coverage-on-funds-stored-through-payment-apps/full-report/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CONFIDENTIAL  •  TANDA / Phase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tanda.  /  PHASE 01  /  RESEARCH-ALIGNED WORKING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F4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