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TANDA | Competitive Analysis</w:t>
      </w:r>
    </w:p>
    <w:p>
      <w:r>
        <w:t>Positioning-led benchmark and verification checklist</w:t>
      </w:r>
    </w:p>
    <w:p>
      <w:r>
        <w:t>Prepared 16 October 2026  |  Concept-stage planning  |  Not a bank-partner approval, legal opinion, or investor offer</w:t>
      </w:r>
    </w:p>
    <w:p>
      <w:pPr>
        <w:pStyle w:val="Heading1"/>
      </w:pPr>
      <w:r>
        <w:t>Comparison method</w:t>
      </w:r>
    </w:p>
    <w:p>
      <w:pPr>
        <w:pStyle w:val="ListBullet"/>
      </w:pPr>
      <w:r>
        <w:t>Competitors below are comparison targets, not verified 2026 feature or price claims. Before investor circulation, validate each fee, APY, ATM policy, cash-deposit feature and Spanish-language workflow against a dated primary source.</w:t>
      </w:r>
    </w:p>
    <w:p>
      <w:pPr>
        <w:pStyle w:val="ListBullet"/>
      </w:pPr>
      <w:r>
        <w:t>Use task-based mystery shopping: open account in Spanish, recover password, dispute a card purchase, find ATM, add cash, configure savings, contact human support, and add a family helper.</w:t>
      </w:r>
    </w:p>
    <w:p>
      <w:pPr>
        <w:pStyle w:val="Heading1"/>
      </w:pPr>
      <w:r>
        <w:t>Competitive set</w:t>
      </w:r>
    </w:p>
    <w:p>
      <w:pPr>
        <w:pStyle w:val="Heading2"/>
      </w:pPr>
      <w:r>
        <w:t>Chime</w:t>
      </w:r>
    </w:p>
    <w:p>
      <w:r>
        <w:t>Compare fee structure, overdraft, direct deposit, ATM/cash deposit networks, accessibility, support and actual sponsor-bank disclosures.</w:t>
      </w:r>
    </w:p>
    <w:p>
      <w:pPr>
        <w:pStyle w:val="Heading2"/>
      </w:pPr>
      <w:r>
        <w:t>SoFi</w:t>
      </w:r>
    </w:p>
    <w:p>
      <w:r>
        <w:t>Compare breadth of checking/savings, premium economics, interest economics, joint banking, support and cross-sell.</w:t>
      </w:r>
    </w:p>
    <w:p>
      <w:pPr>
        <w:pStyle w:val="Heading2"/>
      </w:pPr>
      <w:r>
        <w:t>Varo</w:t>
      </w:r>
    </w:p>
    <w:p>
      <w:r>
        <w:t>Compare bank-versus-fintech structure, account opening, fee disclosures, savings incentives and overdraft.</w:t>
      </w:r>
    </w:p>
    <w:p>
      <w:pPr>
        <w:pStyle w:val="Heading2"/>
      </w:pPr>
      <w:r>
        <w:t>Current and Cash App</w:t>
      </w:r>
    </w:p>
    <w:p>
      <w:r>
        <w:t>Compare payments-first customer journeys, cash loading, fraud controls, fee visibility and younger-user acquisition.</w:t>
      </w:r>
    </w:p>
    <w:p>
      <w:pPr>
        <w:pStyle w:val="Heading2"/>
      </w:pPr>
      <w:r>
        <w:t>Bank of America, Chase and Wells Fargo</w:t>
      </w:r>
    </w:p>
    <w:p>
      <w:r>
        <w:t>Compare branches, Spanish-language service, cash access, trust and digital account servicing.</w:t>
      </w:r>
    </w:p>
    <w:p>
      <w:pPr>
        <w:pStyle w:val="Heading2"/>
      </w:pPr>
      <w:r>
        <w:t>Regional/community credit unions and banks in CA/TX</w:t>
      </w:r>
    </w:p>
    <w:p>
      <w:r>
        <w:t>Compare culturally relevant local trust, bilingual branch services, membership/eligibility and community partnerships.</w:t>
      </w:r>
    </w:p>
    <w:p>
      <w:pPr>
        <w:pStyle w:val="Heading1"/>
      </w:pPr>
      <w:r>
        <w:t>Strategic differentiation</w:t>
      </w:r>
    </w:p>
    <w:p>
      <w:pPr>
        <w:pStyle w:val="ListBullet"/>
      </w:pPr>
      <w:r>
        <w:t>TANDA's potential defensible experience: full bilingual journey before signup, persistent voice/text Assist, permission-limited Trusted Helper, transparent scam warnings, culturally expressive but readable design, and multigenerational testing.</w:t>
      </w:r>
    </w:p>
    <w:p>
      <w:pPr>
        <w:pStyle w:val="ListBullet"/>
      </w:pPr>
      <w:r>
        <w:t>Differentiation is a hypothesis until demonstrated in usability tests. A colorful card alone is not a durable advantage.</w:t>
      </w:r>
    </w:p>
    <w:p>
      <w:pPr>
        <w:pStyle w:val="Heading1"/>
      </w:pPr>
      <w:r>
        <w:t>What not to compete on yet</w:t>
      </w:r>
    </w:p>
    <w:p>
      <w:pPr>
        <w:pStyle w:val="ListBullet"/>
      </w:pPr>
      <w:r>
        <w:t>Do not promise market-leading APY, zero-cost cash deposits everywhere, nationwide branch coverage, best-in-class instant payments or unlimited overdraft until partner economics and network reach support those claims.</w:t>
      </w:r>
    </w:p>
    <w:p>
      <w:pPr>
        <w:pStyle w:val="Heading1"/>
      </w:pPr>
      <w:r>
        <w:t>Research scorecard</w:t>
      </w:r>
    </w:p>
    <w:p>
      <w:pPr>
        <w:pStyle w:val="ListBullet"/>
      </w:pPr>
      <w:r>
        <w:t>For each competitor record: review date; primary URL; checking monthly fee; ATM network/out-of-network fees; retail cash deposit availability/fees; overdraft terms; Spanish signup and servicing; live support; joint accounts; savings automation; FDIC-bank disclosure; card customization; rewards; source screenshot/quote.</w:t>
      </w:r>
    </w:p>
    <w:p>
      <w:pPr>
        <w:pStyle w:val="Heading1"/>
      </w:pPr>
      <w:r>
        <w:t>Positioning recommendation</w:t>
      </w:r>
    </w:p>
    <w:p>
      <w:pPr>
        <w:pStyle w:val="ListBullet"/>
      </w:pPr>
      <w:r>
        <w:t>Lead with 'banking you can understand and trust' plus bilingual accessibility and transparent economics; use bold cultural branding as a memorable expression of the promise, not a substitute for financial reliability.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CONFIDENTIAL  •  TANDA / Phase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tanda.  /  PHASE 01  /  RESEARCH-ALIGNED WORKING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F4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