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tanda. | Brand Identity</w:t>
      </w:r>
    </w:p>
    <w:p>
      <w:r>
        <w:t>Mexican mercado energy, serious money management</w:t>
      </w:r>
    </w:p>
    <w:p>
      <w:r>
        <w:t>Prepared 16 October 2026  |  Concept-stage planning  |  Not a bank-partner approval, legal opinion, or investor offer</w:t>
      </w:r>
    </w:p>
    <w:p>
      <w:pPr>
        <w:pStyle w:val="Heading1"/>
      </w:pPr>
      <w:r>
        <w:t>Brand foundation</w:t>
      </w:r>
    </w:p>
    <w:p>
      <w:pPr>
        <w:pStyle w:val="ListBullet"/>
      </w:pPr>
      <w:r>
        <w:t>Positioning: an accessible, transparent, culturally expressive banking experience for everyone, with a distinctly Mexican/Latino design language.</w:t>
      </w:r>
    </w:p>
    <w:p>
      <w:pPr>
        <w:pStyle w:val="ListBullet"/>
      </w:pPr>
      <w:r>
        <w:t>Personality: neighborly, direct, confident, warm, clear. Never infantilizing, exoticizing or assuming every Latino customer speaks Spanish.</w:t>
      </w:r>
    </w:p>
    <w:p>
      <w:pPr>
        <w:pStyle w:val="ListBullet"/>
      </w:pPr>
      <w:r>
        <w:t>Primary mark: lowercase 'tanda.' wordmark; standalone icon concept must be independently designed and trademark-cleared. Treat all current marks as working concepts.</w:t>
      </w:r>
    </w:p>
    <w:p>
      <w:pPr>
        <w:pStyle w:val="Heading1"/>
      </w:pPr>
      <w:r>
        <w:t>Working color system</w:t>
      </w:r>
    </w:p>
    <w:p>
      <w:pPr>
        <w:pStyle w:val="ListBullet"/>
      </w:pPr>
      <w:r>
        <w:t>Verde Mercado #006F4E — anchor; Rosa Bugambilia #E52C74 — campaigns; Rojo Chile #D52B3A — expressive accent; Amarillo Sol #FFC72C — highlight; Azul Talavera #1577C8 — supporting accent; Crema #FFF7E9 — backgrounds; Tinta #202020 — primary text.</w:t>
      </w:r>
    </w:p>
    <w:p>
      <w:pPr>
        <w:pStyle w:val="ListBullet"/>
      </w:pPr>
      <w:r>
        <w:t>Use a restrained subset for account balances, forms, disclosures and financial alerts; reserve rich ornamentation for card art, onboarding illustrations and campaigns. Test WCAG 2.2 AA contrast rather than assuming vivid colors are accessible.</w:t>
      </w:r>
    </w:p>
    <w:p>
      <w:pPr>
        <w:pStyle w:val="Heading1"/>
      </w:pPr>
      <w:r>
        <w:t>Art direction</w:t>
      </w:r>
    </w:p>
    <w:p>
      <w:pPr>
        <w:pStyle w:val="ListBullet"/>
      </w:pPr>
      <w:r>
        <w:t>Commission original symmetrical botanical folk-art patterns, mercado-inspired signage, papel-picado rhythm and talavera-like geometry. Avoid copying supplied third-party card images, Frida portraits, calaveras or copyrighted reference compositions.</w:t>
      </w:r>
    </w:p>
    <w:p>
      <w:pPr>
        <w:pStyle w:val="ListBullet"/>
      </w:pPr>
      <w:r>
        <w:t>Create a standard card, original artist series and premium TANDA+ editions. Secure source files, copyright assignment or licenses, artist attribution and partner/card-network approval.</w:t>
      </w:r>
    </w:p>
    <w:p>
      <w:pPr>
        <w:pStyle w:val="Heading1"/>
      </w:pPr>
      <w:r>
        <w:t>Type and UI</w:t>
      </w:r>
    </w:p>
    <w:p>
      <w:pPr>
        <w:pStyle w:val="ListBullet"/>
      </w:pPr>
      <w:r>
        <w:t>Choose a readable commercial type family with full Spanish diacritics, strong numerals and accessible weight range. Provide scalable typography, descriptive errors, keyboard focus, reduced motion and clear fraud-warning states.</w:t>
      </w:r>
    </w:p>
    <w:p>
      <w:pPr>
        <w:pStyle w:val="ListBullet"/>
      </w:pPr>
      <w:r>
        <w:t>Use expressive headings and imagery outside transactional core; keep money amounts, confirmations and risk notices visually calm and unambiguous.</w:t>
      </w:r>
    </w:p>
    <w:p>
      <w:pPr>
        <w:pStyle w:val="Heading1"/>
      </w:pPr>
      <w:r>
        <w:t>Bilingual writing</w:t>
      </w:r>
    </w:p>
    <w:p>
      <w:pPr>
        <w:pStyle w:val="ListBullet"/>
      </w:pPr>
      <w:r>
        <w:t>Offer English/Español before registration, retain preference across web/mobile/support, and commission native-speaker review for financial/legal terminology. Never rely exclusively on automatic translation for disclosures.</w:t>
      </w:r>
    </w:p>
    <w:p>
      <w:pPr>
        <w:pStyle w:val="ListBullet"/>
      </w:pPr>
      <w:r>
        <w:t>Example English: 'Your money, clearly explained.' Example Spanish concept: 'Tu dinero, explicado con claridad.' Final copy requires bilingual cultural and legal review.</w:t>
      </w:r>
    </w:p>
    <w:p>
      <w:pPr>
        <w:pStyle w:val="Heading1"/>
      </w:pPr>
      <w:r>
        <w:t>Brand governance</w:t>
      </w:r>
    </w:p>
    <w:p>
      <w:pPr>
        <w:pStyle w:val="ListBullet"/>
      </w:pPr>
      <w:r>
        <w:t>Maintain source-of-truth asset library, logo clear-space rules, permitted background variants, accessibility QA, translation glossary, legal claim approval, trademark clearance and card-processor signoff. No FDIC or partner logo until legally authorized.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CONFIDENTIAL  •  TANDA / Phase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tanda.  /  PHASE 01  /  RESEARCH-ALIGNED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F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