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t xml:space="preserve"/>
      </w:r>
    </w:p>
    <w:p>
      <w:pPr>
        <w:spacing w:after="100" w:before="0"/>
      </w:pPr>
      <w:r>
        <w:t xml:space="preserve"/>
      </w:r>
    </w:p>
    <w:p>
      <w:pPr>
        <w:spacing w:after="100" w:before="0"/>
      </w:pPr>
      <w:r>
        <w:t xml:space="preserve"/>
      </w:r>
    </w:p>
    <w:p>
      <w:pPr>
        <w:spacing w:after="100" w:before="0"/>
      </w:pPr>
      <w:r>
        <w:t xml:space="preserve"/>
      </w:r>
    </w:p>
    <w:p>
      <w:pPr>
        <w:spacing w:after="80" w:before="0"/>
        <w:jc w:val="center"/>
      </w:pPr>
      <w:r>
        <w:rPr>
          <w:rFonts w:ascii="Arial" w:cs="Arial" w:eastAsia="Arial" w:hAnsi="Arial"/>
          <w:b/>
          <w:bCs/>
          <w:color w:val="1A3A6B"/>
          <w:sz w:val="64"/>
          <w:szCs w:val="64"/>
        </w:rPr>
        <w:t xml:space="preserve">AI-First Finance</w:t>
      </w:r>
    </w:p>
    <w:p>
      <w:pPr>
        <w:spacing w:after="160" w:before="0"/>
        <w:jc w:val="center"/>
      </w:pPr>
      <w:r>
        <w:rPr>
          <w:rFonts w:ascii="Arial" w:cs="Arial" w:eastAsia="Arial" w:hAnsi="Arial"/>
          <w:b/>
          <w:bCs/>
          <w:color w:val="0077A8"/>
          <w:sz w:val="64"/>
          <w:szCs w:val="64"/>
        </w:rPr>
        <w:t xml:space="preserve">Transformation Blueprint</w:t>
      </w:r>
    </w:p>
    <w:p>
      <w:pPr>
        <w:spacing w:after="80" w:before="0"/>
        <w:jc w:val="center"/>
      </w:pPr>
      <w:r>
        <w:rPr>
          <w:rFonts w:ascii="Arial" w:cs="Arial" w:eastAsia="Arial" w:hAnsi="Arial"/>
          <w:i/>
          <w:iCs/>
          <w:color w:val="555555"/>
          <w:sz w:val="24"/>
          <w:szCs w:val="24"/>
        </w:rPr>
        <w:t xml:space="preserve">Rethinking the Entire Finance Function — From Source Document to CFO Dashboard</w:t>
      </w:r>
    </w:p>
    <w:p>
      <w:pPr>
        <w:spacing w:after="400" w:before="0"/>
        <w:jc w:val="center"/>
      </w:pPr>
      <w:r>
        <w:rPr>
          <w:rFonts w:ascii="Arial" w:cs="Arial" w:eastAsia="Arial" w:hAnsi="Arial"/>
          <w:color w:val="555555"/>
          <w:sz w:val="20"/>
          <w:szCs w:val="20"/>
        </w:rPr>
        <w:t xml:space="preserve">Illustrated through Nexus BioTherapeutics, Inc. (NXTB)</w:t>
      </w:r>
    </w:p>
    <w:p>
      <w:pPr>
        <w:pBdr>
          <w:bottom w:val="single" w:color="1A3A6B" w:sz="6" w:space="1"/>
        </w:pBdr>
        <w:spacing w:after="120" w:before="120"/>
      </w:pPr>
      <w:r>
        <w:t xml:space="preserve"/>
      </w:r>
    </w:p>
    <w:p>
      <w:pPr>
        <w:spacing w:after="100" w:before="0"/>
      </w:pPr>
      <w:r>
        <w:t xml:space="preserve"/>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222222"/>
                <w:sz w:val="18"/>
                <w:szCs w:val="18"/>
              </w:rPr>
              <w:t xml:space="preserve">Prepared for:</w:t>
            </w:r>
          </w:p>
        </w:tc>
        <w:tc>
          <w:tcPr>
            <w:tcW w:type="dxa" w:w="46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CFO Workshop — Life Sciences Finance Leaders</w:t>
            </w:r>
          </w:p>
        </w:tc>
      </w:tr>
      <w:tr>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40" w:before="40"/>
            </w:pPr>
            <w:r>
              <w:rPr>
                <w:rFonts w:ascii="Arial" w:cs="Arial" w:eastAsia="Arial" w:hAnsi="Arial"/>
                <w:b/>
                <w:bCs/>
                <w:i w:val="false"/>
                <w:iCs w:val="false"/>
                <w:color w:val="222222"/>
                <w:sz w:val="18"/>
                <w:szCs w:val="18"/>
              </w:rPr>
              <w:t xml:space="preserve">Workshop Organizer:</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QHP Capital</w:t>
            </w:r>
          </w:p>
        </w:tc>
      </w:tr>
      <w:tr>
        <w:tc>
          <w:tcPr>
            <w:tcW w:type="dxa" w:w="46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222222"/>
                <w:sz w:val="18"/>
                <w:szCs w:val="18"/>
              </w:rPr>
              <w:t xml:space="preserve">Document Status:</w:t>
            </w:r>
          </w:p>
        </w:tc>
        <w:tc>
          <w:tcPr>
            <w:tcW w:type="dxa" w:w="46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Working Framework — For Discussion</w:t>
            </w:r>
          </w:p>
        </w:tc>
      </w:tr>
      <w:tr>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40" w:before="40"/>
            </w:pPr>
            <w:r>
              <w:rPr>
                <w:rFonts w:ascii="Arial" w:cs="Arial" w:eastAsia="Arial" w:hAnsi="Arial"/>
                <w:b/>
                <w:bCs/>
                <w:i w:val="false"/>
                <w:iCs w:val="false"/>
                <w:color w:val="222222"/>
                <w:sz w:val="18"/>
                <w:szCs w:val="18"/>
              </w:rPr>
              <w:t xml:space="preserve">Reference Company:</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Nexus BioTherapeutics, Inc. (FICTIONAL — Workshop Use Only)</w:t>
            </w:r>
          </w:p>
        </w:tc>
      </w:tr>
    </w:tbl>
    <w:p>
      <w:r>
        <w:br w:type="page"/>
      </w:r>
    </w:p>
    <w:p>
      <w:pPr>
        <w:pStyle w:val="Heading1"/>
        <w:pageBreakBefore/>
        <w:spacing w:after="180" w:before="360"/>
      </w:pPr>
      <w:r>
        <w:rPr>
          <w:rFonts w:ascii="Arial" w:cs="Arial" w:eastAsia="Arial" w:hAnsi="Arial"/>
          <w:b/>
          <w:bCs/>
          <w:color w:val="1A3A6B"/>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180" w:before="360"/>
      </w:pPr>
      <w:r>
        <w:rPr>
          <w:rFonts w:ascii="Arial" w:cs="Arial" w:eastAsia="Arial" w:hAnsi="Arial"/>
          <w:b/>
          <w:bCs/>
          <w:color w:val="1A3A6B"/>
          <w:sz w:val="32"/>
          <w:szCs w:val="32"/>
        </w:rPr>
        <w:t xml:space="preserve">Executive Summary</w:t>
      </w:r>
    </w:p>
    <w:p>
      <w:pPr>
        <w:spacing w:after="140" w:before="60"/>
        <w:jc w:val="left"/>
      </w:pPr>
      <w:r>
        <w:rPr>
          <w:rFonts w:ascii="Arial" w:cs="Arial" w:eastAsia="Arial" w:hAnsi="Arial"/>
          <w:b w:val="false"/>
          <w:bCs w:val="false"/>
          <w:i w:val="false"/>
          <w:iCs w:val="false"/>
          <w:color w:val="222222"/>
          <w:sz w:val="20"/>
          <w:szCs w:val="20"/>
        </w:rPr>
        <w:t xml:space="preserve">The finance function of a life sciences company touches every dollar the business spends or earns — from a $12 Uber receipt submitted by a sales rep to a $48 million clinical trial invoice from a contract research organization. Across all these touchpoints, a typical pharma finance organization employs dozens of people performing tasks that are fundamentally about ingesting documents, extracting data, applying rules, and producing reports.</w:t>
      </w:r>
    </w:p>
    <w:p>
      <w:pPr>
        <w:spacing w:after="140" w:before="60"/>
        <w:jc w:val="left"/>
      </w:pPr>
      <w:r>
        <w:rPr>
          <w:rFonts w:ascii="Arial" w:cs="Arial" w:eastAsia="Arial" w:hAnsi="Arial"/>
          <w:b w:val="false"/>
          <w:bCs w:val="false"/>
          <w:i w:val="false"/>
          <w:iCs w:val="false"/>
          <w:color w:val="222222"/>
          <w:sz w:val="20"/>
          <w:szCs w:val="20"/>
        </w:rPr>
        <w:t xml:space="preserve">Every one of those tasks is now within reach of AI systems.</w:t>
      </w:r>
    </w:p>
    <w:p>
      <w:pPr>
        <w:spacing w:after="140" w:before="60"/>
        <w:jc w:val="left"/>
      </w:pPr>
      <w:r>
        <w:rPr>
          <w:rFonts w:ascii="Arial" w:cs="Arial" w:eastAsia="Arial" w:hAnsi="Arial"/>
          <w:b w:val="false"/>
          <w:bCs w:val="false"/>
          <w:i w:val="false"/>
          <w:iCs w:val="false"/>
          <w:color w:val="222222"/>
          <w:sz w:val="20"/>
          <w:szCs w:val="20"/>
        </w:rPr>
        <w:t xml:space="preserve">This blueprint is not about automating existing workflows. It is about asking a harder question: if we were building a finance organization today, from scratch, with access to current AI capabilities, what would it look like? The answer is radically different from what most companies have today — and the gap between the current state and that future state represents one of the largest untapped efficiency opportunities in the enterprise.</w:t>
      </w:r>
    </w:p>
    <w:p>
      <w:pPr>
        <w:spacing w:after="100" w:before="0"/>
      </w:pPr>
      <w:r>
        <w:t xml:space="preserve"/>
      </w:r>
    </w:p>
    <w:p>
      <w:pPr>
        <w:pStyle w:val="Heading2"/>
        <w:spacing w:after="140" w:before="280"/>
      </w:pPr>
      <w:r>
        <w:rPr>
          <w:rFonts w:ascii="Arial" w:cs="Arial" w:eastAsia="Arial" w:hAnsi="Arial"/>
          <w:b/>
          <w:bCs/>
          <w:color w:val="0077A8"/>
          <w:sz w:val="26"/>
          <w:szCs w:val="26"/>
        </w:rPr>
        <w:t xml:space="preserve">The Core Argument in Three Points</w:t>
      </w:r>
    </w:p>
    <w:p>
      <w:pPr>
        <w:pStyle w:val="ListParagraph"/>
        <w:numPr>
          <w:ilvl w:val="0"/>
          <w:numId w:val="2"/>
        </w:numPr>
        <w:spacing w:after="60" w:before="40"/>
      </w:pPr>
      <w:r>
        <w:rPr>
          <w:rFonts w:ascii="Arial" w:cs="Arial" w:eastAsia="Arial" w:hAnsi="Arial"/>
          <w:b w:val="false"/>
          <w:bCs w:val="false"/>
          <w:color w:val="222222"/>
          <w:sz w:val="20"/>
          <w:szCs w:val="20"/>
        </w:rPr>
        <w:t xml:space="preserve">AI can now do the work of the bottom three layers of the finance hierarchy — transaction processing, bookkeeping, and routine reporting — with greater speed, accuracy, and auditability than human teams. This is not speculative; the technology exists today.</w:t>
      </w:r>
    </w:p>
    <w:p>
      <w:pPr>
        <w:pStyle w:val="ListParagraph"/>
        <w:numPr>
          <w:ilvl w:val="0"/>
          <w:numId w:val="2"/>
        </w:numPr>
        <w:spacing w:after="60" w:before="40"/>
      </w:pPr>
      <w:r>
        <w:rPr>
          <w:rFonts w:ascii="Arial" w:cs="Arial" w:eastAsia="Arial" w:hAnsi="Arial"/>
          <w:b w:val="false"/>
          <w:bCs w:val="false"/>
          <w:color w:val="222222"/>
          <w:sz w:val="20"/>
          <w:szCs w:val="20"/>
        </w:rPr>
        <w:t xml:space="preserve">The humans who remain are not doing less important work. They are doing more important work: exercising judgment where rules are ambiguous, managing relationships with auditors and regulators, setting strategic direction, and overseeing the AI systems themselves.</w:t>
      </w:r>
    </w:p>
    <w:p>
      <w:pPr>
        <w:pStyle w:val="ListParagraph"/>
        <w:numPr>
          <w:ilvl w:val="0"/>
          <w:numId w:val="2"/>
        </w:numPr>
        <w:spacing w:after="60" w:before="40"/>
      </w:pPr>
      <w:r>
        <w:rPr>
          <w:rFonts w:ascii="Arial" w:cs="Arial" w:eastAsia="Arial" w:hAnsi="Arial"/>
          <w:b w:val="false"/>
          <w:bCs w:val="false"/>
          <w:color w:val="222222"/>
          <w:sz w:val="20"/>
          <w:szCs w:val="20"/>
        </w:rPr>
        <w:t xml:space="preserve">For life sciences companies specifically, the complexity of the finance function — clinical trial accruals, gross-to-net revenue, FDA compliance, milestone-based contracts — actually makes the case stronger, not weaker. The more complex the rules, the more value AI adds by applying them consistently and completely.</w:t>
      </w:r>
    </w:p>
    <w:p>
      <w:pPr>
        <w:spacing w:after="100" w:before="0"/>
      </w:pPr>
      <w:r>
        <w:t xml:space="preserve"/>
      </w:r>
    </w:p>
    <w:p>
      <w:pPr>
        <w:pStyle w:val="Heading2"/>
        <w:spacing w:after="140" w:before="280"/>
      </w:pPr>
      <w:r>
        <w:rPr>
          <w:rFonts w:ascii="Arial" w:cs="Arial" w:eastAsia="Arial" w:hAnsi="Arial"/>
          <w:b/>
          <w:bCs/>
          <w:color w:val="0077A8"/>
          <w:sz w:val="26"/>
          <w:szCs w:val="26"/>
        </w:rPr>
        <w:t xml:space="preserve">What This Document Is</w:t>
      </w:r>
    </w:p>
    <w:p>
      <w:pPr>
        <w:spacing w:after="140" w:before="60"/>
        <w:jc w:val="left"/>
      </w:pPr>
      <w:r>
        <w:rPr>
          <w:rFonts w:ascii="Arial" w:cs="Arial" w:eastAsia="Arial" w:hAnsi="Arial"/>
          <w:b w:val="false"/>
          <w:bCs w:val="false"/>
          <w:i w:val="false"/>
          <w:iCs w:val="false"/>
          <w:color w:val="222222"/>
          <w:sz w:val="20"/>
          <w:szCs w:val="20"/>
        </w:rPr>
        <w:t xml:space="preserve">This blueprint maps every major finance function — from accounts payable clerk to CFO — and describes what an AI-first redesign looks like at each level. For each function it answers: what does AI handle, what do humans handle, and why. It also describes the realistic implementation path and the risks that must be managed.</w:t>
      </w:r>
    </w:p>
    <w:p>
      <w:pPr>
        <w:spacing w:after="140" w:before="60"/>
        <w:jc w:val="left"/>
      </w:pPr>
      <w:r>
        <w:rPr>
          <w:rFonts w:ascii="Arial" w:cs="Arial" w:eastAsia="Arial" w:hAnsi="Arial"/>
          <w:b w:val="false"/>
          <w:bCs w:val="false"/>
          <w:i w:val="false"/>
          <w:iCs w:val="false"/>
          <w:color w:val="222222"/>
          <w:sz w:val="20"/>
          <w:szCs w:val="20"/>
        </w:rPr>
        <w:t xml:space="preserve">Throughout, we use Nexus BioTherapeutics, Inc. — a fictional mid-size NASDAQ-listed pharma company — as the reference case. The companion document library (853 simulated financial documents) represents a year of real-world finance operations at Nexus, and can be used to demonstrate each AI workflow hands-on.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5F7FA" w:val="clear"/>
            <w:tcMar>
              <w:top w:type="dxa" w:w="120"/>
              <w:left w:type="dxa" w:w="120"/>
              <w:bottom w:type="dxa" w:w="120"/>
              <w:right w:type="dxa" w:w="120"/>
            </w:tcMar>
          </w:tcPr>
          <w:p>
            <w:pPr>
              <w:spacing w:after="40" w:before="80"/>
              <w:jc w:val="center"/>
            </w:pPr>
            <w:r>
              <w:rPr>
                <w:rFonts w:ascii="Arial" w:cs="Arial" w:eastAsia="Arial" w:hAnsi="Arial"/>
                <w:b/>
                <w:bCs/>
                <w:color w:val="0077A8"/>
                <w:sz w:val="40"/>
                <w:szCs w:val="40"/>
              </w:rPr>
              <w:t xml:space="preserve">80%</w:t>
            </w:r>
          </w:p>
          <w:p>
            <w:pPr>
              <w:spacing w:after="40" w:before="0"/>
              <w:jc w:val="center"/>
            </w:pPr>
            <w:r>
              <w:rPr>
                <w:rFonts w:ascii="Arial" w:cs="Arial" w:eastAsia="Arial" w:hAnsi="Arial"/>
                <w:b/>
                <w:bCs/>
                <w:color w:val="1A3A6B"/>
                <w:sz w:val="18"/>
                <w:szCs w:val="18"/>
              </w:rPr>
              <w:t xml:space="preserve">Reduction in Manual Processing</w:t>
            </w:r>
          </w:p>
          <w:p>
            <w:pPr>
              <w:spacing w:after="60" w:before="0"/>
              <w:jc w:val="center"/>
            </w:pPr>
            <w:r>
              <w:rPr>
                <w:rFonts w:ascii="Arial" w:cs="Arial" w:eastAsia="Arial" w:hAnsi="Arial"/>
                <w:color w:val="555555"/>
                <w:sz w:val="16"/>
                <w:szCs w:val="16"/>
              </w:rPr>
              <w:t xml:space="preserve">Transaction &amp; reporting layer</w:t>
            </w:r>
          </w:p>
        </w:tc>
        <w:tc>
          <w:tcPr>
            <w:tcW w:type="dxa" w:w="2340"/>
            <w:tcBorders>
              <w:top w:val="single" w:color="CCCCCC" w:sz="1"/>
              <w:left w:val="single" w:color="CCCCCC" w:sz="1"/>
              <w:bottom w:val="single" w:color="CCCCCC" w:sz="1"/>
              <w:right w:val="single" w:color="CCCCCC" w:sz="1"/>
            </w:tcBorders>
            <w:shd w:fill="F5F7FA" w:val="clear"/>
            <w:tcMar>
              <w:top w:type="dxa" w:w="120"/>
              <w:left w:type="dxa" w:w="120"/>
              <w:bottom w:type="dxa" w:w="120"/>
              <w:right w:type="dxa" w:w="120"/>
            </w:tcMar>
          </w:tcPr>
          <w:p>
            <w:pPr>
              <w:spacing w:after="40" w:before="80"/>
              <w:jc w:val="center"/>
            </w:pPr>
            <w:r>
              <w:rPr>
                <w:rFonts w:ascii="Arial" w:cs="Arial" w:eastAsia="Arial" w:hAnsi="Arial"/>
                <w:b/>
                <w:bCs/>
                <w:color w:val="0077A8"/>
                <w:sz w:val="40"/>
                <w:szCs w:val="40"/>
              </w:rPr>
              <w:t xml:space="preserve">3x</w:t>
            </w:r>
          </w:p>
          <w:p>
            <w:pPr>
              <w:spacing w:after="40" w:before="0"/>
              <w:jc w:val="center"/>
            </w:pPr>
            <w:r>
              <w:rPr>
                <w:rFonts w:ascii="Arial" w:cs="Arial" w:eastAsia="Arial" w:hAnsi="Arial"/>
                <w:b/>
                <w:bCs/>
                <w:color w:val="1A3A6B"/>
                <w:sz w:val="18"/>
                <w:szCs w:val="18"/>
              </w:rPr>
              <w:t xml:space="preserve">Faster Month-End Close</w:t>
            </w:r>
          </w:p>
          <w:p>
            <w:pPr>
              <w:spacing w:after="60" w:before="0"/>
              <w:jc w:val="center"/>
            </w:pPr>
            <w:r>
              <w:rPr>
                <w:rFonts w:ascii="Arial" w:cs="Arial" w:eastAsia="Arial" w:hAnsi="Arial"/>
                <w:color w:val="555555"/>
                <w:sz w:val="16"/>
                <w:szCs w:val="16"/>
              </w:rPr>
              <w:t xml:space="preserve">From ~10 days to ~3 days</w:t>
            </w:r>
          </w:p>
        </w:tc>
        <w:tc>
          <w:tcPr>
            <w:tcW w:type="dxa" w:w="2340"/>
            <w:tcBorders>
              <w:top w:val="single" w:color="CCCCCC" w:sz="1"/>
              <w:left w:val="single" w:color="CCCCCC" w:sz="1"/>
              <w:bottom w:val="single" w:color="CCCCCC" w:sz="1"/>
              <w:right w:val="single" w:color="CCCCCC" w:sz="1"/>
            </w:tcBorders>
            <w:shd w:fill="F5F7FA" w:val="clear"/>
            <w:tcMar>
              <w:top w:type="dxa" w:w="120"/>
              <w:left w:type="dxa" w:w="120"/>
              <w:bottom w:type="dxa" w:w="120"/>
              <w:right w:type="dxa" w:w="120"/>
            </w:tcMar>
          </w:tcPr>
          <w:p>
            <w:pPr>
              <w:spacing w:after="40" w:before="80"/>
              <w:jc w:val="center"/>
            </w:pPr>
            <w:r>
              <w:rPr>
                <w:rFonts w:ascii="Arial" w:cs="Arial" w:eastAsia="Arial" w:hAnsi="Arial"/>
                <w:b/>
                <w:bCs/>
                <w:color w:val="0077A8"/>
                <w:sz w:val="40"/>
                <w:szCs w:val="40"/>
              </w:rPr>
              <w:t xml:space="preserve">95%+</w:t>
            </w:r>
          </w:p>
          <w:p>
            <w:pPr>
              <w:spacing w:after="40" w:before="0"/>
              <w:jc w:val="center"/>
            </w:pPr>
            <w:r>
              <w:rPr>
                <w:rFonts w:ascii="Arial" w:cs="Arial" w:eastAsia="Arial" w:hAnsi="Arial"/>
                <w:b/>
                <w:bCs/>
                <w:color w:val="1A3A6B"/>
                <w:sz w:val="18"/>
                <w:szCs w:val="18"/>
              </w:rPr>
              <w:t xml:space="preserve">Accuracy on Document Extraction</w:t>
            </w:r>
          </w:p>
          <w:p>
            <w:pPr>
              <w:spacing w:after="60" w:before="0"/>
              <w:jc w:val="center"/>
            </w:pPr>
            <w:r>
              <w:rPr>
                <w:rFonts w:ascii="Arial" w:cs="Arial" w:eastAsia="Arial" w:hAnsi="Arial"/>
                <w:color w:val="555555"/>
                <w:sz w:val="16"/>
                <w:szCs w:val="16"/>
              </w:rPr>
              <w:t xml:space="preserve">Invoices, receipts, statements</w:t>
            </w:r>
          </w:p>
        </w:tc>
        <w:tc>
          <w:tcPr>
            <w:tcW w:type="dxa" w:w="2340"/>
            <w:tcBorders>
              <w:top w:val="single" w:color="CCCCCC" w:sz="1"/>
              <w:left w:val="single" w:color="CCCCCC" w:sz="1"/>
              <w:bottom w:val="single" w:color="CCCCCC" w:sz="1"/>
              <w:right w:val="single" w:color="CCCCCC" w:sz="1"/>
            </w:tcBorders>
            <w:shd w:fill="F5F7FA" w:val="clear"/>
            <w:tcMar>
              <w:top w:type="dxa" w:w="120"/>
              <w:left w:type="dxa" w:w="120"/>
              <w:bottom w:type="dxa" w:w="120"/>
              <w:right w:type="dxa" w:w="120"/>
            </w:tcMar>
          </w:tcPr>
          <w:p>
            <w:pPr>
              <w:spacing w:after="40" w:before="80"/>
              <w:jc w:val="center"/>
            </w:pPr>
            <w:r>
              <w:rPr>
                <w:rFonts w:ascii="Arial" w:cs="Arial" w:eastAsia="Arial" w:hAnsi="Arial"/>
                <w:b/>
                <w:bCs/>
                <w:color w:val="0077A8"/>
                <w:sz w:val="40"/>
                <w:szCs w:val="40"/>
              </w:rPr>
              <w:t xml:space="preserve">~60%</w:t>
            </w:r>
          </w:p>
          <w:p>
            <w:pPr>
              <w:spacing w:after="40" w:before="0"/>
              <w:jc w:val="center"/>
            </w:pPr>
            <w:r>
              <w:rPr>
                <w:rFonts w:ascii="Arial" w:cs="Arial" w:eastAsia="Arial" w:hAnsi="Arial"/>
                <w:b/>
                <w:bCs/>
                <w:color w:val="1A3A6B"/>
                <w:sz w:val="18"/>
                <w:szCs w:val="18"/>
              </w:rPr>
              <w:t xml:space="preserve">Finance Headcount Redeployable</w:t>
            </w:r>
          </w:p>
          <w:p>
            <w:pPr>
              <w:spacing w:after="60" w:before="0"/>
              <w:jc w:val="center"/>
            </w:pPr>
            <w:r>
              <w:rPr>
                <w:rFonts w:ascii="Arial" w:cs="Arial" w:eastAsia="Arial" w:hAnsi="Arial"/>
                <w:color w:val="555555"/>
                <w:sz w:val="16"/>
                <w:szCs w:val="16"/>
              </w:rPr>
              <w:t xml:space="preserve">To higher-value analysis work</w:t>
            </w:r>
          </w:p>
        </w:tc>
      </w:tr>
    </w:tbl>
    <w:p>
      <w:pPr>
        <w:spacing w:after="200" w:before="40"/>
        <w:jc w:val="center"/>
      </w:pPr>
      <w:r>
        <w:rPr>
          <w:rFonts w:ascii="Arial" w:cs="Arial" w:eastAsia="Arial" w:hAnsi="Arial"/>
          <w:i/>
          <w:iCs/>
          <w:color w:val="555555"/>
          <w:sz w:val="17"/>
          <w:szCs w:val="17"/>
        </w:rPr>
        <w:t xml:space="preserve">Illustrative transformation metrics — Nexus BioTherapeutics reference case</w:t>
      </w:r>
    </w:p>
    <w:p>
      <w:pPr>
        <w:pStyle w:val="Heading1"/>
        <w:pageBreakBefore/>
        <w:spacing w:after="180" w:before="360"/>
      </w:pPr>
      <w:r>
        <w:rPr>
          <w:rFonts w:ascii="Arial" w:cs="Arial" w:eastAsia="Arial" w:hAnsi="Arial"/>
          <w:b/>
          <w:bCs/>
          <w:color w:val="1A3A6B"/>
          <w:sz w:val="32"/>
          <w:szCs w:val="32"/>
        </w:rPr>
        <w:t xml:space="preserve">1. What "AI-First" Actually Means</w:t>
      </w:r>
    </w:p>
    <w:p>
      <w:pPr>
        <w:spacing w:after="140" w:before="60"/>
        <w:jc w:val="left"/>
      </w:pPr>
      <w:r>
        <w:rPr>
          <w:rFonts w:ascii="Arial" w:cs="Arial" w:eastAsia="Arial" w:hAnsi="Arial"/>
          <w:b w:val="false"/>
          <w:bCs w:val="false"/>
          <w:i w:val="false"/>
          <w:iCs w:val="false"/>
          <w:color w:val="222222"/>
          <w:sz w:val="20"/>
          <w:szCs w:val="20"/>
        </w:rPr>
        <w:t xml:space="preserve">There is an important distinction between bolting AI onto existing workflows and genuinely redesigning those workflows from scratch. Most companies doing "AI in finance" today are doing the former: adding an AI layer on top of legacy ERP processes, automating individual tasks without changing the underlying organizational logic. This captures a fraction of the available value.</w:t>
      </w:r>
    </w:p>
    <w:p>
      <w:pPr>
        <w:spacing w:after="140" w:before="60"/>
        <w:jc w:val="left"/>
      </w:pPr>
      <w:r>
        <w:rPr>
          <w:rFonts w:ascii="Arial" w:cs="Arial" w:eastAsia="Arial" w:hAnsi="Arial"/>
          <w:b w:val="false"/>
          <w:bCs w:val="false"/>
          <w:i w:val="false"/>
          <w:iCs w:val="false"/>
          <w:color w:val="222222"/>
          <w:sz w:val="20"/>
          <w:szCs w:val="20"/>
        </w:rPr>
        <w:t xml:space="preserve">AI-first means starting from the outcome — accurate, real-time financial intelligence — and working backward to determine the minimum necessary human involvement to produce it reliably and responsibly.</w:t>
      </w:r>
    </w:p>
    <w:p>
      <w:pPr>
        <w:spacing w:after="100" w:before="0"/>
      </w:pPr>
      <w:r>
        <w:t xml:space="preserve"/>
      </w:r>
    </w:p>
    <w:p>
      <w:pPr>
        <w:pStyle w:val="Heading2"/>
        <w:spacing w:after="140" w:before="280"/>
      </w:pPr>
      <w:r>
        <w:rPr>
          <w:rFonts w:ascii="Arial" w:cs="Arial" w:eastAsia="Arial" w:hAnsi="Arial"/>
          <w:b/>
          <w:bCs/>
          <w:color w:val="0077A8"/>
          <w:sz w:val="26"/>
          <w:szCs w:val="26"/>
        </w:rPr>
        <w:t xml:space="preserve">1.1 The Old Model vs. the AI-First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Old Model (Bolt-On AI)</w:t>
            </w:r>
          </w:p>
        </w:tc>
        <w:tc>
          <w:tcPr>
            <w:tcW w:type="dxa" w:w="4680"/>
            <w:tcBorders>
              <w:top w:val="single" w:color="CCCCCC" w:sz="1"/>
              <w:left w:val="single" w:color="CCCCCC" w:sz="1"/>
              <w:bottom w:val="single" w:color="CCCCCC" w:sz="1"/>
              <w:right w:val="single" w:color="CCCCCC" w:sz="1"/>
            </w:tcBorders>
            <w:shd w:fill="0077A8"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AI-First Model (Redesigned)</w:t>
            </w:r>
          </w:p>
        </w:tc>
      </w:tr>
      <w:tr>
        <w:tc>
          <w:tcPr>
            <w:tcW w:type="dxa" w:w="46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Humans do the work; AI assists</w:t>
            </w:r>
          </w:p>
        </w:tc>
        <w:tc>
          <w:tcPr>
            <w:tcW w:type="dxa" w:w="4680"/>
            <w:tcBorders>
              <w:top w:val="single" w:color="CCCCCC" w:sz="1"/>
              <w:left w:val="single" w:color="CCCCCC" w:sz="1"/>
              <w:bottom w:val="single" w:color="CCCCCC" w:sz="1"/>
              <w:right w:val="single" w:color="CCCCCC" w:sz="1"/>
            </w:tcBorders>
            <w:shd w:fill="E3F0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AI does the work; humans oversee and decide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AI automates individual tasks (e.g., PO matching)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AI owns entire process flows end-to-end</w:t>
            </w:r>
          </w:p>
        </w:tc>
      </w:tr>
      <w:tr>
        <w:tc>
          <w:tcPr>
            <w:tcW w:type="dxa" w:w="46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Exceptions go to a human queue</w:t>
            </w:r>
          </w:p>
        </w:tc>
        <w:tc>
          <w:tcPr>
            <w:tcW w:type="dxa" w:w="4680"/>
            <w:tcBorders>
              <w:top w:val="single" w:color="CCCCCC" w:sz="1"/>
              <w:left w:val="single" w:color="CCCCCC" w:sz="1"/>
              <w:bottom w:val="single" w:color="CCCCCC" w:sz="1"/>
              <w:right w:val="single" w:color="CCCCCC" w:sz="1"/>
            </w:tcBorders>
            <w:shd w:fill="E3F0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AI resolves most exceptions autonomously; only novel edge cases escalate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Monthly reporting cycle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Continuous, real-time financial state available at any moment</w:t>
            </w:r>
          </w:p>
        </w:tc>
      </w:tr>
      <w:tr>
        <w:tc>
          <w:tcPr>
            <w:tcW w:type="dxa" w:w="46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Finance headcount scales with transaction volume</w:t>
            </w:r>
          </w:p>
        </w:tc>
        <w:tc>
          <w:tcPr>
            <w:tcW w:type="dxa" w:w="4680"/>
            <w:tcBorders>
              <w:top w:val="single" w:color="CCCCCC" w:sz="1"/>
              <w:left w:val="single" w:color="CCCCCC" w:sz="1"/>
              <w:bottom w:val="single" w:color="CCCCCC" w:sz="1"/>
              <w:right w:val="single" w:color="CCCCCC" w:sz="1"/>
            </w:tcBorders>
            <w:shd w:fill="E3F0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Finance headcount is decoupled from transaction volume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Data lives in ERP silos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Every document becomes a structured data point in a unified financial graph</w:t>
            </w:r>
          </w:p>
        </w:tc>
      </w:tr>
      <w:tr>
        <w:tc>
          <w:tcPr>
            <w:tcW w:type="dxa" w:w="46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Audit trail is a burden</w:t>
            </w:r>
          </w:p>
        </w:tc>
        <w:tc>
          <w:tcPr>
            <w:tcW w:type="dxa" w:w="4680"/>
            <w:tcBorders>
              <w:top w:val="single" w:color="CCCCCC" w:sz="1"/>
              <w:left w:val="single" w:color="CCCCCC" w:sz="1"/>
              <w:bottom w:val="single" w:color="CCCCCC" w:sz="1"/>
              <w:right w:val="single" w:color="CCCCCC" w:sz="1"/>
            </w:tcBorders>
            <w:shd w:fill="E3F0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Audit trail is automatic and richer than any human process produces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Compliance is a checklist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Compliance is continuous and monitored in real time</w:t>
            </w:r>
          </w:p>
        </w:tc>
      </w:tr>
    </w:tbl>
    <w:p>
      <w:pPr>
        <w:spacing w:after="100" w:before="0"/>
      </w:pPr>
      <w:r>
        <w:t xml:space="preserve"/>
      </w:r>
    </w:p>
    <w:p>
      <w:pPr>
        <w:pStyle w:val="Heading2"/>
        <w:spacing w:after="140" w:before="280"/>
      </w:pPr>
      <w:r>
        <w:rPr>
          <w:rFonts w:ascii="Arial" w:cs="Arial" w:eastAsia="Arial" w:hAnsi="Arial"/>
          <w:b/>
          <w:bCs/>
          <w:color w:val="0077A8"/>
          <w:sz w:val="26"/>
          <w:szCs w:val="26"/>
        </w:rPr>
        <w:t xml:space="preserve">1.2 The Four Roles Humans Play in an AI-First Finance Function</w:t>
      </w:r>
    </w:p>
    <w:p>
      <w:pPr>
        <w:spacing w:after="140" w:before="60"/>
        <w:jc w:val="left"/>
      </w:pPr>
      <w:r>
        <w:rPr>
          <w:rFonts w:ascii="Arial" w:cs="Arial" w:eastAsia="Arial" w:hAnsi="Arial"/>
          <w:b w:val="false"/>
          <w:bCs w:val="false"/>
          <w:i w:val="false"/>
          <w:iCs w:val="false"/>
          <w:color w:val="222222"/>
          <w:sz w:val="20"/>
          <w:szCs w:val="20"/>
        </w:rPr>
        <w:t xml:space="preserve">In the AI-first model, human roles collapse into four distinct types. Every person remaining in the finance organization fits one of these: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2500"/>
        <w:gridCol w:w="2500"/>
      </w:tblGrid>
      <w:tr>
        <w:trPr>
          <w:tblHeader/>
        </w:trPr>
        <w:tc>
          <w:tcPr>
            <w:tcW w:type="dxa" w:w="2000"/>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Role Type</w:t>
            </w:r>
          </w:p>
        </w:tc>
        <w:tc>
          <w:tcPr>
            <w:tcW w:type="dxa" w:w="2360"/>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What They Do</w:t>
            </w:r>
          </w:p>
        </w:tc>
        <w:tc>
          <w:tcPr>
            <w:tcW w:type="dxa" w:w="2500"/>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Why AI Can't Do This</w:t>
            </w:r>
          </w:p>
        </w:tc>
        <w:tc>
          <w:tcPr>
            <w:tcW w:type="dxa" w:w="2500"/>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Examples at Nexus BioTherapeutics</w:t>
            </w:r>
          </w:p>
        </w:tc>
      </w:tr>
      <w:tr>
        <w:tc>
          <w:tcPr>
            <w:tcW w:type="dxa" w:w="2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222222"/>
                <w:sz w:val="18"/>
                <w:szCs w:val="18"/>
              </w:rPr>
              <w:t xml:space="preserve">Judgment Maker</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Resolves ambiguity that requires contextual business knowledge</w:t>
            </w:r>
          </w:p>
        </w:tc>
        <w:tc>
          <w:tcPr>
            <w:tcW w:type="dxa" w:w="25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Requires understanding of intent, strategy, and nuance beyond pattern recognition</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iCs/>
                <w:color w:val="222222"/>
                <w:sz w:val="18"/>
                <w:szCs w:val="18"/>
              </w:rPr>
              <w:t xml:space="preserve">Deciding whether to accrue a disputed CRO invoice; approving a novel contract structure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222222"/>
                <w:sz w:val="18"/>
                <w:szCs w:val="18"/>
              </w:rPr>
              <w:t xml:space="preserve">Relationship Manager</w:t>
            </w:r>
          </w:p>
        </w:tc>
        <w:tc>
          <w:tcPr>
            <w:tcW w:type="dxa" w:w="2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Manages vendor, auditor, regulator, and board relationships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Trust, negotiation, and accountability are irreducibly human</w:t>
            </w:r>
          </w:p>
        </w:tc>
        <w:tc>
          <w:tcPr>
            <w:tcW w:type="dxa" w:w="25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iCs/>
                <w:color w:val="222222"/>
                <w:sz w:val="18"/>
                <w:szCs w:val="18"/>
              </w:rPr>
              <w:t xml:space="preserve">CFO meeting with Deloitte audit team; VP Finance negotiating with McKesson</w:t>
            </w:r>
          </w:p>
        </w:tc>
      </w:tr>
      <w:tr>
        <w:tc>
          <w:tcPr>
            <w:tcW w:type="dxa" w:w="2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222222"/>
                <w:sz w:val="18"/>
                <w:szCs w:val="18"/>
              </w:rPr>
              <w:t xml:space="preserve">AI Overseer</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Monitors AI systems, reviews exception reports, validates outputs, tunes models</w:t>
            </w:r>
          </w:p>
        </w:tc>
        <w:tc>
          <w:tcPr>
            <w:tcW w:type="dxa" w:w="25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Someone must be accountable for AI decisions and catch systematic errors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iCs/>
                <w:color w:val="222222"/>
                <w:sz w:val="18"/>
                <w:szCs w:val="18"/>
              </w:rPr>
              <w:t xml:space="preserve">Finance Ops Manager reviewing weekly AI accuracy dashboards; flagging drift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222222"/>
                <w:sz w:val="18"/>
                <w:szCs w:val="18"/>
              </w:rPr>
              <w:t xml:space="preserve">Strategic Advisor</w:t>
            </w:r>
          </w:p>
        </w:tc>
        <w:tc>
          <w:tcPr>
            <w:tcW w:type="dxa" w:w="2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Uses AI-generated financial intelligence to guide business decisions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Requires understanding of company strategy, competitive context, risk appetite</w:t>
            </w:r>
          </w:p>
        </w:tc>
        <w:tc>
          <w:tcPr>
            <w:tcW w:type="dxa" w:w="25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iCs/>
                <w:color w:val="222222"/>
                <w:sz w:val="18"/>
                <w:szCs w:val="18"/>
              </w:rPr>
              <w:t xml:space="preserve">CFO using real-time cash flow model to advise on clinical trial funding sequence</w:t>
            </w:r>
          </w:p>
        </w:tc>
      </w:tr>
    </w:tbl>
    <w:p>
      <w:pPr>
        <w:pStyle w:val="Heading1"/>
        <w:pageBreakBefore/>
        <w:spacing w:after="180" w:before="360"/>
      </w:pPr>
      <w:r>
        <w:rPr>
          <w:rFonts w:ascii="Arial" w:cs="Arial" w:eastAsia="Arial" w:hAnsi="Arial"/>
          <w:b/>
          <w:bCs/>
          <w:color w:val="1A3A6B"/>
          <w:sz w:val="32"/>
          <w:szCs w:val="32"/>
        </w:rPr>
        <w:t xml:space="preserve">2. The Finance Document Ecosystem</w:t>
      </w:r>
    </w:p>
    <w:p>
      <w:pPr>
        <w:spacing w:after="140" w:before="60"/>
        <w:jc w:val="left"/>
      </w:pPr>
      <w:r>
        <w:rPr>
          <w:rFonts w:ascii="Arial" w:cs="Arial" w:eastAsia="Arial" w:hAnsi="Arial"/>
          <w:b w:val="false"/>
          <w:bCs w:val="false"/>
          <w:i w:val="false"/>
          <w:iCs w:val="false"/>
          <w:color w:val="222222"/>
          <w:sz w:val="20"/>
          <w:szCs w:val="20"/>
        </w:rPr>
        <w:t xml:space="preserve">Every finance function begins with a document. Before an AI can classify, match, accrue, or report — it needs to ingest. The quality and breadth of document ingestion is the foundation on which the entire AI-first finance stack is built.</w:t>
      </w:r>
    </w:p>
    <w:p>
      <w:pPr>
        <w:spacing w:after="140" w:before="60"/>
        <w:jc w:val="left"/>
      </w:pPr>
      <w:r>
        <w:rPr>
          <w:rFonts w:ascii="Arial" w:cs="Arial" w:eastAsia="Arial" w:hAnsi="Arial"/>
          <w:b w:val="false"/>
          <w:bCs w:val="false"/>
          <w:i w:val="false"/>
          <w:iCs w:val="false"/>
          <w:color w:val="222222"/>
          <w:sz w:val="20"/>
          <w:szCs w:val="20"/>
        </w:rPr>
        <w:t xml:space="preserve">The table below maps every major document type that flows through a life sciences company's finance function, organized by function. This is the input layer. In the AI-first model, every one of these documents is ingested, classified, and extracted automatically the moment it arrives — whether it arrives as a PDF email attachment, a scanned fax, a handwritten receipt photographed on a phone, a CSV EDI file, or an API data feed.</w:t>
      </w:r>
    </w:p>
    <w:p>
      <w:pPr>
        <w:spacing w:after="100" w:before="0"/>
      </w:pPr>
      <w:r>
        <w:t xml:space="preserve"/>
      </w:r>
    </w:p>
    <w:p>
      <w:pPr>
        <w:pStyle w:val="Heading2"/>
        <w:spacing w:after="140" w:before="280"/>
      </w:pPr>
      <w:r>
        <w:rPr>
          <w:rFonts w:ascii="Arial" w:cs="Arial" w:eastAsia="Arial" w:hAnsi="Arial"/>
          <w:b/>
          <w:bCs/>
          <w:color w:val="0077A8"/>
          <w:sz w:val="26"/>
          <w:szCs w:val="26"/>
        </w:rPr>
        <w:t xml:space="preserve">2.1 Document Taxonomy — Nexus BioTherapeutics Reference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1600"/>
        <w:gridCol w:w="2160"/>
      </w:tblGrid>
      <w:tr>
        <w:trPr>
          <w:tblHeader/>
        </w:trPr>
        <w:tc>
          <w:tcPr>
            <w:tcW w:type="dxa" w:w="1600"/>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Finance Function</w:t>
            </w:r>
          </w:p>
        </w:tc>
        <w:tc>
          <w:tcPr>
            <w:tcW w:type="dxa" w:w="2200"/>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Document Types</w:t>
            </w:r>
          </w:p>
        </w:tc>
        <w:tc>
          <w:tcPr>
            <w:tcW w:type="dxa" w:w="1800"/>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Common Formats</w:t>
            </w:r>
          </w:p>
        </w:tc>
        <w:tc>
          <w:tcPr>
            <w:tcW w:type="dxa" w:w="1600"/>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Volume (Nexus/yr)</w:t>
            </w:r>
          </w:p>
        </w:tc>
        <w:tc>
          <w:tcPr>
            <w:tcW w:type="dxa" w:w="2160"/>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AI Extraction Challenge</w:t>
            </w:r>
          </w:p>
        </w:tc>
      </w:tr>
      <w:tr>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222222"/>
                <w:sz w:val="18"/>
                <w:szCs w:val="18"/>
              </w:rPr>
              <w:t xml:space="preserve">Accounts Payable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Vendor invoices, purchase orders, packing slips, receiving reports, vendor statements, wire confirmations</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PDF, scanned JPEG, EDI 810</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iCs/>
                <w:color w:val="222222"/>
                <w:sz w:val="18"/>
                <w:szCs w:val="18"/>
              </w:rPr>
              <w:t xml:space="preserve">~1,200 invoices</w:t>
            </w:r>
          </w:p>
        </w:tc>
        <w:tc>
          <w:tcPr>
            <w:tcW w:type="dxa" w:w="2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Varying layouts across 20+ vendors; handwritten line items on some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222222"/>
                <w:sz w:val="18"/>
                <w:szCs w:val="18"/>
              </w:rPr>
              <w:t xml:space="preserve">Accounts Receivable</w:t>
            </w:r>
          </w:p>
        </w:tc>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Customer invoices, remittance advices, chargeback claims, Medicaid rebate submissions, aging reports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PDF, EDI 820, Excel</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iCs/>
                <w:color w:val="222222"/>
                <w:sz w:val="18"/>
                <w:szCs w:val="18"/>
              </w:rPr>
              <w:t xml:space="preserve">~600 invoices, ~800 chargeback claims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Gross-to-net calculation complexity; chargeback matching</w:t>
            </w:r>
          </w:p>
        </w:tc>
      </w:tr>
      <w:tr>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222222"/>
                <w:sz w:val="18"/>
                <w:szCs w:val="18"/>
              </w:rPr>
              <w:t xml:space="preserve">Travel &amp; Expense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Hotel folios, restaurant receipts, airline tickets, rideshare receipts, expense reports, conference registrations</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JPEG (photos), PDF, email</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iCs/>
                <w:color w:val="222222"/>
                <w:sz w:val="18"/>
                <w:szCs w:val="18"/>
              </w:rPr>
              <w:t xml:space="preserve">~2,400 receipts/year</w:t>
            </w:r>
          </w:p>
        </w:tc>
        <w:tc>
          <w:tcPr>
            <w:tcW w:type="dxa" w:w="2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Image quality varies; requires OCR + classification + policy check</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222222"/>
                <w:sz w:val="18"/>
                <w:szCs w:val="18"/>
              </w:rPr>
              <w:t xml:space="preserve">Payroll</w:t>
            </w:r>
          </w:p>
        </w:tc>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Timesheets, payroll registers, tax withholding forms, W-2s, 1099s, benefits invoices, new hire paperwork</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Excel, PDF, XML (ADP/Workday)</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iCs/>
                <w:color w:val="222222"/>
                <w:sz w:val="18"/>
                <w:szCs w:val="18"/>
              </w:rPr>
              <w:t xml:space="preserve">26 pay cycles/year + annual</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Compliance rules vary by state; high sensitivity data</w:t>
            </w:r>
          </w:p>
        </w:tc>
      </w:tr>
      <w:tr>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222222"/>
                <w:sz w:val="18"/>
                <w:szCs w:val="18"/>
              </w:rPr>
              <w:t xml:space="preserve">Banking &amp; Treasury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Bank statements, wire confirmations, ACH reports, investment statements, foreign exchange confirmations</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PDF, CSV, OFX, bank API</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iCs/>
                <w:color w:val="222222"/>
                <w:sz w:val="18"/>
                <w:szCs w:val="18"/>
              </w:rPr>
              <w:t xml:space="preserve">~36 statements/year (3 accts)</w:t>
            </w:r>
          </w:p>
        </w:tc>
        <w:tc>
          <w:tcPr>
            <w:tcW w:type="dxa" w:w="2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Transaction matching at scale; reconciliation across systems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222222"/>
                <w:sz w:val="18"/>
                <w:szCs w:val="18"/>
              </w:rPr>
              <w:t xml:space="preserve">General Ledger</w:t>
            </w:r>
          </w:p>
        </w:tc>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Journal entries, GL detail reports, trial balance, close checklists, reconciliations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PDF vouchers, Excel, ERP export</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iCs/>
                <w:color w:val="222222"/>
                <w:sz w:val="18"/>
                <w:szCs w:val="18"/>
              </w:rPr>
              <w:t xml:space="preserve">~1,500 JEs/year</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Requires business context to validate debit/credit logic</w:t>
            </w:r>
          </w:p>
        </w:tc>
      </w:tr>
      <w:tr>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222222"/>
                <w:sz w:val="18"/>
                <w:szCs w:val="18"/>
              </w:rPr>
              <w:t xml:space="preserve">Clinical Trial Accounting</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CRO invoices, milestone billing schedules, pass-through cost reports, DSMB budgets, protocol amendments</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PDF, Excel</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iCs/>
                <w:color w:val="222222"/>
                <w:sz w:val="18"/>
                <w:szCs w:val="18"/>
              </w:rPr>
              <w:t xml:space="preserve">~36 CRO invoices/year (3 trials)</w:t>
            </w:r>
          </w:p>
        </w:tc>
        <w:tc>
          <w:tcPr>
            <w:tcW w:type="dxa" w:w="2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Milestone vs. FFS logic; budget tracking across multi-year trials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222222"/>
                <w:sz w:val="18"/>
                <w:szCs w:val="18"/>
              </w:rPr>
              <w:t xml:space="preserve">CMO / Manufacturing</w:t>
            </w:r>
          </w:p>
        </w:tc>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Drug substance batch invoices, fill/finish invoices, QC release testing, inventory reports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PDF, Excel</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iCs/>
                <w:color w:val="222222"/>
                <w:sz w:val="18"/>
                <w:szCs w:val="18"/>
              </w:rPr>
              <w:t xml:space="preserve">~24 CMO invoices/year</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Batch-level cost allocation; COGS vs. R&amp;D determination</w:t>
            </w:r>
          </w:p>
        </w:tc>
      </w:tr>
      <w:tr>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222222"/>
                <w:sz w:val="18"/>
                <w:szCs w:val="18"/>
              </w:rPr>
              <w:t xml:space="preserve">Financial Reporting</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Monthly P&amp;L, quarterly cash flow, budget vs. actual, board packages, SEC filings (10-K/10-Q)</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Excel, PDF, XBRL</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iCs/>
                <w:color w:val="222222"/>
                <w:sz w:val="18"/>
                <w:szCs w:val="18"/>
              </w:rPr>
              <w:t xml:space="preserve">~20 reports/month</w:t>
            </w:r>
          </w:p>
        </w:tc>
        <w:tc>
          <w:tcPr>
            <w:tcW w:type="dxa" w:w="2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Narrative generation; variance explanation; XBRL tagging</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222222"/>
                <w:sz w:val="18"/>
                <w:szCs w:val="18"/>
              </w:rPr>
              <w:t xml:space="preserve">Tax</w:t>
            </w:r>
          </w:p>
        </w:tc>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Federal/state returns, 1099 batch files, R&amp;D tax credit documentation, transfer pricing reports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PDF, XML, Excel</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iCs/>
                <w:color w:val="222222"/>
                <w:sz w:val="18"/>
                <w:szCs w:val="18"/>
              </w:rPr>
              <w:t xml:space="preserve">Annual + quarterly</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Multi-jurisdiction rules; R&amp;D credit qualification logic</w:t>
            </w:r>
          </w:p>
        </w:tc>
      </w:tr>
    </w:tbl>
    <w:p>
      <w:pPr>
        <w:spacing w:after="200" w:before="40"/>
        <w:jc w:val="center"/>
      </w:pPr>
      <w:r>
        <w:rPr>
          <w:rFonts w:ascii="Arial" w:cs="Arial" w:eastAsia="Arial" w:hAnsi="Arial"/>
          <w:i/>
          <w:iCs/>
          <w:color w:val="555555"/>
          <w:sz w:val="17"/>
          <w:szCs w:val="17"/>
        </w:rPr>
        <w:t xml:space="preserve">Source: Nexus BioTherapeutics Simulated Document Library (853 documents across 10 categories)</w:t>
      </w:r>
    </w:p>
    <w:p>
      <w:pPr>
        <w:pStyle w:val="Heading1"/>
        <w:pageBreakBefore/>
        <w:spacing w:after="180" w:before="360"/>
      </w:pPr>
      <w:r>
        <w:rPr>
          <w:rFonts w:ascii="Arial" w:cs="Arial" w:eastAsia="Arial" w:hAnsi="Arial"/>
          <w:b/>
          <w:bCs/>
          <w:color w:val="1A3A6B"/>
          <w:sz w:val="32"/>
          <w:szCs w:val="32"/>
        </w:rPr>
        <w:t xml:space="preserve">3. The Transformation — Layer by Layer</w:t>
      </w:r>
    </w:p>
    <w:p>
      <w:pPr>
        <w:spacing w:after="140" w:before="60"/>
        <w:jc w:val="left"/>
      </w:pPr>
      <w:r>
        <w:rPr>
          <w:rFonts w:ascii="Arial" w:cs="Arial" w:eastAsia="Arial" w:hAnsi="Arial"/>
          <w:b w:val="false"/>
          <w:bCs w:val="false"/>
          <w:i w:val="false"/>
          <w:iCs w:val="false"/>
          <w:color w:val="222222"/>
          <w:sz w:val="20"/>
          <w:szCs w:val="20"/>
        </w:rPr>
        <w:t xml:space="preserve">The finance function operates in layers. The bottom layers are highest volume and most rule-driven; the top layers are lowest volume and most judgment-intensive. AI's impact is inversely proportional to judgment intensity — it eliminates the bottom layers almost entirely, compresses the middle layers significantly, and augments (but does not replace) the top layers.</w:t>
      </w:r>
    </w:p>
    <w:p>
      <w:pPr>
        <w:pStyle w:val="Heading2"/>
        <w:spacing w:after="140" w:before="280"/>
      </w:pPr>
      <w:r>
        <w:rPr>
          <w:rFonts w:ascii="Arial" w:cs="Arial" w:eastAsia="Arial" w:hAnsi="Arial"/>
          <w:b/>
          <w:bCs/>
          <w:color w:val="0077A8"/>
          <w:sz w:val="26"/>
          <w:szCs w:val="26"/>
        </w:rPr>
        <w:t xml:space="preserve">3.1 Accounts Payable</w:t>
      </w:r>
    </w:p>
    <w:p>
      <w:pPr>
        <w:spacing w:after="140" w:before="60"/>
        <w:jc w:val="left"/>
      </w:pPr>
      <w:r>
        <w:rPr>
          <w:rFonts w:ascii="Arial" w:cs="Arial" w:eastAsia="Arial" w:hAnsi="Arial"/>
          <w:b w:val="false"/>
          <w:bCs w:val="false"/>
          <w:i w:val="false"/>
          <w:iCs w:val="false"/>
          <w:color w:val="222222"/>
          <w:sz w:val="20"/>
          <w:szCs w:val="20"/>
        </w:rPr>
        <w:t xml:space="preserve">AP is the entry point for the majority of external financial documents. At Nexus BioTherapeutics, AP processes ~1,200 vendor invoices per year across 20+ vendors — from $8,000 lab supply orders to $1.8 million monthly CRO invoices. Traditionally, this requires a team of AP specialists who manually key invoice data, perform three-way matching (PO → invoice → receiving report), obtain approval, and schedule payment. Each invoice takes 15–45 minutes of human touch time.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W w:type="dxa" w:w="2800"/>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Traditional Approach</w:t>
            </w:r>
          </w:p>
        </w:tc>
        <w:tc>
          <w:tcPr>
            <w:tcW w:type="dxa" w:w="3500"/>
            <w:tcBorders>
              <w:top w:val="single" w:color="CCCCCC" w:sz="1"/>
              <w:left w:val="single" w:color="CCCCCC" w:sz="1"/>
              <w:bottom w:val="single" w:color="CCCCCC" w:sz="1"/>
              <w:right w:val="single" w:color="CCCCCC" w:sz="1"/>
            </w:tcBorders>
            <w:shd w:fill="0077A8"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AI-First Redesign</w:t>
            </w:r>
          </w:p>
        </w:tc>
        <w:tc>
          <w:tcPr>
            <w:tcW w:type="dxa" w:w="3060"/>
            <w:tcBorders>
              <w:top w:val="single" w:color="CCCCCC" w:sz="1"/>
              <w:left w:val="single" w:color="CCCCCC" w:sz="1"/>
              <w:bottom w:val="single" w:color="CCCCCC" w:sz="1"/>
              <w:right w:val="single" w:color="CCCCCC" w:sz="1"/>
            </w:tcBorders>
            <w:shd w:fill="2E5077"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The Human Role Remaining</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AP clerk receives invoice via email/mail, manually keys data into ERP</w:t>
            </w:r>
          </w:p>
        </w:tc>
        <w:tc>
          <w:tcPr>
            <w:tcW w:type="dxa" w:w="3500"/>
            <w:tcBorders>
              <w:top w:val="single" w:color="CCCCCC" w:sz="1"/>
              <w:left w:val="single" w:color="CCCCCC" w:sz="1"/>
              <w:bottom w:val="single" w:color="CCCCCC" w:sz="1"/>
              <w:right w:val="single" w:color="CCCCCC" w:sz="1"/>
            </w:tcBorders>
            <w:shd w:fill="E3F0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AI ingests invoice the moment it arrives (email, fax, portal, EDI). Multimodal model extracts all fields — vendor, date, line items, amounts, PO reference, payment terms — from any format: clean PDF, scanned JPEG, handwritten fax cover sheet</w:t>
            </w:r>
          </w:p>
        </w:tc>
        <w:tc>
          <w:tcPr>
            <w:tcW w:type="dxa" w:w="30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Overseer reviews AI confidence scores on flagged extractions; handles vendor disputes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AP clerk manually matches invoice to purchase order and receiving report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AI performs three-way match automatically. If PO, invoice, and receiving report align within tolerance, payment is scheduled with zero human touch. Match rate: 85%+ of invoices straight-through</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Exception handler resolves the ~15% of invoices with mismatches — price discrepancies, missing POs, partial deliveries</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Invoice routed for approval via email or workflow system — often sits in manager inbox for days</w:t>
            </w:r>
          </w:p>
        </w:tc>
        <w:tc>
          <w:tcPr>
            <w:tcW w:type="dxa" w:w="3500"/>
            <w:tcBorders>
              <w:top w:val="single" w:color="CCCCCC" w:sz="1"/>
              <w:left w:val="single" w:color="CCCCCC" w:sz="1"/>
              <w:bottom w:val="single" w:color="CCCCCC" w:sz="1"/>
              <w:right w:val="single" w:color="CCCCCC" w:sz="1"/>
            </w:tcBorders>
            <w:shd w:fill="E3F0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Invoices above thresholds are routed instantly with full context: vendor history, budget remaining, similar past invoices. Approver sees one-click mobile approve/reject</w:t>
            </w:r>
          </w:p>
        </w:tc>
        <w:tc>
          <w:tcPr>
            <w:tcW w:type="dxa" w:w="30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Budget owners approve exceptions and non-PO invoices; CFO approves above threshold amounts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Payment run scheduled weekly or bi-weekly; AP clerk reviews payment file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AI optimizes payment timing: captures all available early-pay discounts, avoids late fees, manages cash flow against treasury forecast. Payment file auto-reconciles to bank</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VP Treasury reviews payment strategy; approves wires above $500K</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Month-end: AP team scrambles to accrue uninvoiced items, reconcile AP sub-ledger</w:t>
            </w:r>
          </w:p>
        </w:tc>
        <w:tc>
          <w:tcPr>
            <w:tcW w:type="dxa" w:w="3500"/>
            <w:tcBorders>
              <w:top w:val="single" w:color="CCCCCC" w:sz="1"/>
              <w:left w:val="single" w:color="CCCCCC" w:sz="1"/>
              <w:bottom w:val="single" w:color="CCCCCC" w:sz="1"/>
              <w:right w:val="single" w:color="CCCCCC" w:sz="1"/>
            </w:tcBorders>
            <w:shd w:fill="E3F0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AP accruals generated continuously from approved POs with expected invoice dates. Sub-ledger reconciles in real time. Month-end AP close is a 2-hour verification, not a 2-day scramble</w:t>
            </w:r>
          </w:p>
        </w:tc>
        <w:tc>
          <w:tcPr>
            <w:tcW w:type="dxa" w:w="30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Controller reviews accrual completeness; signs off on AP close</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5F7FA" w:val="clear"/>
            <w:tcMar>
              <w:top w:type="dxa" w:w="120"/>
              <w:left w:type="dxa" w:w="120"/>
              <w:bottom w:type="dxa" w:w="120"/>
              <w:right w:type="dxa" w:w="120"/>
            </w:tcMar>
          </w:tcPr>
          <w:p>
            <w:pPr>
              <w:spacing w:after="40" w:before="80"/>
              <w:jc w:val="center"/>
            </w:pPr>
            <w:r>
              <w:rPr>
                <w:rFonts w:ascii="Arial" w:cs="Arial" w:eastAsia="Arial" w:hAnsi="Arial"/>
                <w:b/>
                <w:bCs/>
                <w:color w:val="0077A8"/>
                <w:sz w:val="40"/>
                <w:szCs w:val="40"/>
              </w:rPr>
              <w:t xml:space="preserve">90%</w:t>
            </w:r>
          </w:p>
          <w:p>
            <w:pPr>
              <w:spacing w:after="40" w:before="0"/>
              <w:jc w:val="center"/>
            </w:pPr>
            <w:r>
              <w:rPr>
                <w:rFonts w:ascii="Arial" w:cs="Arial" w:eastAsia="Arial" w:hAnsi="Arial"/>
                <w:b/>
                <w:bCs/>
                <w:color w:val="1A3A6B"/>
                <w:sz w:val="18"/>
                <w:szCs w:val="18"/>
              </w:rPr>
              <w:t xml:space="preserve">Straight-Through Processing</w:t>
            </w:r>
          </w:p>
          <w:p>
            <w:pPr>
              <w:spacing w:after="60" w:before="0"/>
              <w:jc w:val="center"/>
            </w:pPr>
            <w:r>
              <w:rPr>
                <w:rFonts w:ascii="Arial" w:cs="Arial" w:eastAsia="Arial" w:hAnsi="Arial"/>
                <w:color w:val="555555"/>
                <w:sz w:val="16"/>
                <w:szCs w:val="16"/>
              </w:rPr>
              <w:t xml:space="preserve">No human touch required</w:t>
            </w:r>
          </w:p>
        </w:tc>
        <w:tc>
          <w:tcPr>
            <w:tcW w:type="dxa" w:w="2340"/>
            <w:tcBorders>
              <w:top w:val="single" w:color="CCCCCC" w:sz="1"/>
              <w:left w:val="single" w:color="CCCCCC" w:sz="1"/>
              <w:bottom w:val="single" w:color="CCCCCC" w:sz="1"/>
              <w:right w:val="single" w:color="CCCCCC" w:sz="1"/>
            </w:tcBorders>
            <w:shd w:fill="F5F7FA" w:val="clear"/>
            <w:tcMar>
              <w:top w:type="dxa" w:w="120"/>
              <w:left w:type="dxa" w:w="120"/>
              <w:bottom w:type="dxa" w:w="120"/>
              <w:right w:type="dxa" w:w="120"/>
            </w:tcMar>
          </w:tcPr>
          <w:p>
            <w:pPr>
              <w:spacing w:after="40" w:before="80"/>
              <w:jc w:val="center"/>
            </w:pPr>
            <w:r>
              <w:rPr>
                <w:rFonts w:ascii="Arial" w:cs="Arial" w:eastAsia="Arial" w:hAnsi="Arial"/>
                <w:b/>
                <w:bCs/>
                <w:color w:val="0077A8"/>
                <w:sz w:val="40"/>
                <w:szCs w:val="40"/>
              </w:rPr>
              <w:t xml:space="preserve">2 hrs</w:t>
            </w:r>
          </w:p>
          <w:p>
            <w:pPr>
              <w:spacing w:after="40" w:before="0"/>
              <w:jc w:val="center"/>
            </w:pPr>
            <w:r>
              <w:rPr>
                <w:rFonts w:ascii="Arial" w:cs="Arial" w:eastAsia="Arial" w:hAnsi="Arial"/>
                <w:b/>
                <w:bCs/>
                <w:color w:val="1A3A6B"/>
                <w:sz w:val="18"/>
                <w:szCs w:val="18"/>
              </w:rPr>
              <w:t xml:space="preserve">Invoice Cycle Time</w:t>
            </w:r>
          </w:p>
          <w:p>
            <w:pPr>
              <w:spacing w:after="60" w:before="0"/>
              <w:jc w:val="center"/>
            </w:pPr>
            <w:r>
              <w:rPr>
                <w:rFonts w:ascii="Arial" w:cs="Arial" w:eastAsia="Arial" w:hAnsi="Arial"/>
                <w:color w:val="555555"/>
                <w:sz w:val="16"/>
                <w:szCs w:val="16"/>
              </w:rPr>
              <w:t xml:space="preserve">Down from 5–7 days average</w:t>
            </w:r>
          </w:p>
        </w:tc>
        <w:tc>
          <w:tcPr>
            <w:tcW w:type="dxa" w:w="2340"/>
            <w:tcBorders>
              <w:top w:val="single" w:color="CCCCCC" w:sz="1"/>
              <w:left w:val="single" w:color="CCCCCC" w:sz="1"/>
              <w:bottom w:val="single" w:color="CCCCCC" w:sz="1"/>
              <w:right w:val="single" w:color="CCCCCC" w:sz="1"/>
            </w:tcBorders>
            <w:shd w:fill="F5F7FA" w:val="clear"/>
            <w:tcMar>
              <w:top w:type="dxa" w:w="120"/>
              <w:left w:type="dxa" w:w="120"/>
              <w:bottom w:type="dxa" w:w="120"/>
              <w:right w:type="dxa" w:w="120"/>
            </w:tcMar>
          </w:tcPr>
          <w:p>
            <w:pPr>
              <w:spacing w:after="40" w:before="80"/>
              <w:jc w:val="center"/>
            </w:pPr>
            <w:r>
              <w:rPr>
                <w:rFonts w:ascii="Arial" w:cs="Arial" w:eastAsia="Arial" w:hAnsi="Arial"/>
                <w:b/>
                <w:bCs/>
                <w:color w:val="0077A8"/>
                <w:sz w:val="40"/>
                <w:szCs w:val="40"/>
              </w:rPr>
              <w:t xml:space="preserve">100%</w:t>
            </w:r>
          </w:p>
          <w:p>
            <w:pPr>
              <w:spacing w:after="40" w:before="0"/>
              <w:jc w:val="center"/>
            </w:pPr>
            <w:r>
              <w:rPr>
                <w:rFonts w:ascii="Arial" w:cs="Arial" w:eastAsia="Arial" w:hAnsi="Arial"/>
                <w:b/>
                <w:bCs/>
                <w:color w:val="1A3A6B"/>
                <w:sz w:val="18"/>
                <w:szCs w:val="18"/>
              </w:rPr>
              <w:t xml:space="preserve">Early Pay Discounts Captured</w:t>
            </w:r>
          </w:p>
          <w:p>
            <w:pPr>
              <w:spacing w:after="60" w:before="0"/>
              <w:jc w:val="center"/>
            </w:pPr>
            <w:r>
              <w:rPr>
                <w:rFonts w:ascii="Arial" w:cs="Arial" w:eastAsia="Arial" w:hAnsi="Arial"/>
                <w:color w:val="555555"/>
                <w:sz w:val="16"/>
                <w:szCs w:val="16"/>
              </w:rPr>
              <w:t xml:space="preserve">AI never misses a discount window</w:t>
            </w:r>
          </w:p>
        </w:tc>
        <w:tc>
          <w:tcPr>
            <w:tcW w:type="dxa" w:w="2340"/>
            <w:tcBorders>
              <w:top w:val="single" w:color="CCCCCC" w:sz="1"/>
              <w:left w:val="single" w:color="CCCCCC" w:sz="1"/>
              <w:bottom w:val="single" w:color="CCCCCC" w:sz="1"/>
              <w:right w:val="single" w:color="CCCCCC" w:sz="1"/>
            </w:tcBorders>
            <w:shd w:fill="F5F7FA" w:val="clear"/>
            <w:tcMar>
              <w:top w:type="dxa" w:w="120"/>
              <w:left w:type="dxa" w:w="120"/>
              <w:bottom w:type="dxa" w:w="120"/>
              <w:right w:type="dxa" w:w="120"/>
            </w:tcMar>
          </w:tcPr>
          <w:p>
            <w:pPr>
              <w:spacing w:after="40" w:before="80"/>
              <w:jc w:val="center"/>
            </w:pPr>
            <w:r>
              <w:rPr>
                <w:rFonts w:ascii="Arial" w:cs="Arial" w:eastAsia="Arial" w:hAnsi="Arial"/>
                <w:b/>
                <w:bCs/>
                <w:color w:val="0077A8"/>
                <w:sz w:val="40"/>
                <w:szCs w:val="40"/>
              </w:rPr>
              <w:t xml:space="preserve">1 FTE</w:t>
            </w:r>
          </w:p>
          <w:p>
            <w:pPr>
              <w:spacing w:after="40" w:before="0"/>
              <w:jc w:val="center"/>
            </w:pPr>
            <w:r>
              <w:rPr>
                <w:rFonts w:ascii="Arial" w:cs="Arial" w:eastAsia="Arial" w:hAnsi="Arial"/>
                <w:b/>
                <w:bCs/>
                <w:color w:val="1A3A6B"/>
                <w:sz w:val="18"/>
                <w:szCs w:val="18"/>
              </w:rPr>
              <w:t xml:space="preserve">Team Size (from 3–4)</w:t>
            </w:r>
          </w:p>
          <w:p>
            <w:pPr>
              <w:spacing w:after="60" w:before="0"/>
              <w:jc w:val="center"/>
            </w:pPr>
            <w:r>
              <w:rPr>
                <w:rFonts w:ascii="Arial" w:cs="Arial" w:eastAsia="Arial" w:hAnsi="Arial"/>
                <w:color w:val="555555"/>
                <w:sz w:val="16"/>
                <w:szCs w:val="16"/>
              </w:rPr>
              <w:t xml:space="preserve">Oversight &amp; exception handling</w:t>
            </w:r>
          </w:p>
        </w:tc>
      </w:tr>
    </w:tbl>
    <w:p>
      <w:pPr>
        <w:pStyle w:val="Heading2"/>
        <w:spacing w:after="140" w:before="280"/>
      </w:pPr>
      <w:r>
        <w:rPr>
          <w:rFonts w:ascii="Arial" w:cs="Arial" w:eastAsia="Arial" w:hAnsi="Arial"/>
          <w:b/>
          <w:bCs/>
          <w:color w:val="0077A8"/>
          <w:sz w:val="26"/>
          <w:szCs w:val="26"/>
        </w:rPr>
        <w:t xml:space="preserve">3.2 Accounts Receivable — Gross-to-Net &amp; Chargebacks</w:t>
      </w:r>
    </w:p>
    <w:p>
      <w:pPr>
        <w:spacing w:after="140" w:before="60"/>
        <w:jc w:val="left"/>
      </w:pPr>
      <w:r>
        <w:rPr>
          <w:rFonts w:ascii="Arial" w:cs="Arial" w:eastAsia="Arial" w:hAnsi="Arial"/>
          <w:b w:val="false"/>
          <w:bCs w:val="false"/>
          <w:i w:val="false"/>
          <w:iCs w:val="false"/>
          <w:color w:val="222222"/>
          <w:sz w:val="20"/>
          <w:szCs w:val="20"/>
        </w:rPr>
        <w:t xml:space="preserve">AR in pharma is uniquely complex. Revenue is not simply price times quantity — it is reduced by a web of contractual adjustments: GPO chargebacks, Medicaid rebates, co-pay assistance programs, distributor fees, product returns, and more. At Nexus, gross-to-net adjustments reduce WAC revenue by 25–35% to arrive at net product revenue. Managing this accurately requires matching thousands of chargeback claims against contract terms, tracking rebate accruals, and forecasting the reserve adjustments needed at period end.</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W w:type="dxa" w:w="2800"/>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Traditional Approach</w:t>
            </w:r>
          </w:p>
        </w:tc>
        <w:tc>
          <w:tcPr>
            <w:tcW w:type="dxa" w:w="3500"/>
            <w:tcBorders>
              <w:top w:val="single" w:color="CCCCCC" w:sz="1"/>
              <w:left w:val="single" w:color="CCCCCC" w:sz="1"/>
              <w:bottom w:val="single" w:color="CCCCCC" w:sz="1"/>
              <w:right w:val="single" w:color="CCCCCC" w:sz="1"/>
            </w:tcBorders>
            <w:shd w:fill="0077A8"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AI-First Redesign</w:t>
            </w:r>
          </w:p>
        </w:tc>
        <w:tc>
          <w:tcPr>
            <w:tcW w:type="dxa" w:w="3060"/>
            <w:tcBorders>
              <w:top w:val="single" w:color="CCCCCC" w:sz="1"/>
              <w:left w:val="single" w:color="CCCCCC" w:sz="1"/>
              <w:bottom w:val="single" w:color="CCCCCC" w:sz="1"/>
              <w:right w:val="single" w:color="CCCCCC" w:sz="1"/>
            </w:tcBorders>
            <w:shd w:fill="2E5077"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The Human Role Remaining</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AR team generates invoices from shipping system; manually enters into ERP</w:t>
            </w:r>
          </w:p>
        </w:tc>
        <w:tc>
          <w:tcPr>
            <w:tcW w:type="dxa" w:w="3500"/>
            <w:tcBorders>
              <w:top w:val="single" w:color="CCCCCC" w:sz="1"/>
              <w:left w:val="single" w:color="CCCCCC" w:sz="1"/>
              <w:bottom w:val="single" w:color="CCCCCC" w:sz="1"/>
              <w:right w:val="single" w:color="CCCCCC" w:sz="1"/>
            </w:tcBorders>
            <w:shd w:fill="E3F0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Invoice generated automatically at ship confirmation. All pricing, contract terms, and NDC-level detail populated from master data. EDI 810 sent to wholesaler simultaneously</w:t>
            </w:r>
          </w:p>
        </w:tc>
        <w:tc>
          <w:tcPr>
            <w:tcW w:type="dxa" w:w="30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AR Manager reviews credit holds and large new customer orders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Chargeback claims arrive from wholesalers; AR specialist manually validates each against contract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AI validates every chargeback claim against the relevant GPO/government contract in real time. Invalid claims flagged and disputed automatically. Valid claims credited without human touch</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AR team handles disputed chargebacks requiring negotiation with wholesaler; reviews rejection rationale</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Medicaid/340B rebate accruals calculated quarterly by FP&amp;A, often using rough estimates</w:t>
            </w:r>
          </w:p>
        </w:tc>
        <w:tc>
          <w:tcPr>
            <w:tcW w:type="dxa" w:w="3500"/>
            <w:tcBorders>
              <w:top w:val="single" w:color="CCCCCC" w:sz="1"/>
              <w:left w:val="single" w:color="CCCCCC" w:sz="1"/>
              <w:bottom w:val="single" w:color="CCCCCC" w:sz="1"/>
              <w:right w:val="single" w:color="CCCCCC" w:sz="1"/>
            </w:tcBorders>
            <w:shd w:fill="E3F0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AI calculates Medicaid rebate accruals at the NDC-quarter level using actual state sales data and current published rebate percentages. Accruals are updated continuously, not quarterly</w:t>
            </w:r>
          </w:p>
        </w:tc>
        <w:tc>
          <w:tcPr>
            <w:tcW w:type="dxa" w:w="30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VP Finance reviews and approves rebate methodology; works with legal on disputed state claims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Collections team manually follows up on past-due invoices via phone/email</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AI monitors aging in real time, sends automated payment reminders at configurable intervals, escalates systematically. Predicts which accounts are at risk of late payment</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AR Manager handles high-value or relationship-sensitive collection situations (e.g., hospital system past due)</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Cash application team manually matches incoming payments to open invoices</w:t>
            </w:r>
          </w:p>
        </w:tc>
        <w:tc>
          <w:tcPr>
            <w:tcW w:type="dxa" w:w="3500"/>
            <w:tcBorders>
              <w:top w:val="single" w:color="CCCCCC" w:sz="1"/>
              <w:left w:val="single" w:color="CCCCCC" w:sz="1"/>
              <w:bottom w:val="single" w:color="CCCCCC" w:sz="1"/>
              <w:right w:val="single" w:color="CCCCCC" w:sz="1"/>
            </w:tcBorders>
            <w:shd w:fill="E3F0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AI matches ACH and wire payments to open invoices automatically. Remittance advice parsed from email/EDI. Unmatched cash resolved with suggested matches for human confirmation</w:t>
            </w:r>
          </w:p>
        </w:tc>
        <w:tc>
          <w:tcPr>
            <w:tcW w:type="dxa" w:w="30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Staff accountant clears unmatched cash items; ~5% of payments require manual review</w:t>
            </w:r>
          </w:p>
        </w:tc>
      </w:tr>
    </w:tbl>
    <w:p>
      <w:pPr>
        <w:pStyle w:val="Heading2"/>
        <w:spacing w:after="140" w:before="280"/>
      </w:pPr>
      <w:r>
        <w:rPr>
          <w:rFonts w:ascii="Arial" w:cs="Arial" w:eastAsia="Arial" w:hAnsi="Arial"/>
          <w:b/>
          <w:bCs/>
          <w:color w:val="0077A8"/>
          <w:sz w:val="26"/>
          <w:szCs w:val="26"/>
        </w:rPr>
        <w:t xml:space="preserve">3.3 Travel &amp; Expense</w:t>
      </w:r>
    </w:p>
    <w:p>
      <w:pPr>
        <w:spacing w:after="140" w:before="60"/>
        <w:jc w:val="left"/>
      </w:pPr>
      <w:r>
        <w:rPr>
          <w:rFonts w:ascii="Arial" w:cs="Arial" w:eastAsia="Arial" w:hAnsi="Arial"/>
          <w:b w:val="false"/>
          <w:bCs w:val="false"/>
          <w:i w:val="false"/>
          <w:iCs w:val="false"/>
          <w:color w:val="222222"/>
          <w:sz w:val="20"/>
          <w:szCs w:val="20"/>
        </w:rPr>
        <w:t xml:space="preserve">T&amp;E is the highest-volume, most fraud-prone, and most policy-intensive area of finance — and also one of the most ripe for AI. At Nexus, ~2,400 receipts per year flow through the T&amp;E system. Today this requires employees to photograph receipts, manually categorize them, write business purpose narratives, and submit expense reports for manager approval. The process is universally hated by employees and expensive to run.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W w:type="dxa" w:w="2800"/>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Traditional Approach</w:t>
            </w:r>
          </w:p>
        </w:tc>
        <w:tc>
          <w:tcPr>
            <w:tcW w:type="dxa" w:w="3500"/>
            <w:tcBorders>
              <w:top w:val="single" w:color="CCCCCC" w:sz="1"/>
              <w:left w:val="single" w:color="CCCCCC" w:sz="1"/>
              <w:bottom w:val="single" w:color="CCCCCC" w:sz="1"/>
              <w:right w:val="single" w:color="CCCCCC" w:sz="1"/>
            </w:tcBorders>
            <w:shd w:fill="0077A8"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AI-First Redesign</w:t>
            </w:r>
          </w:p>
        </w:tc>
        <w:tc>
          <w:tcPr>
            <w:tcW w:type="dxa" w:w="3060"/>
            <w:tcBorders>
              <w:top w:val="single" w:color="CCCCCC" w:sz="1"/>
              <w:left w:val="single" w:color="CCCCCC" w:sz="1"/>
              <w:bottom w:val="single" w:color="CCCCCC" w:sz="1"/>
              <w:right w:val="single" w:color="CCCCCC" w:sz="1"/>
            </w:tcBorders>
            <w:shd w:fill="2E5077"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The Human Role Remaining</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Employee photographs receipt, uploads to expense app, manually categorizes and types description</w:t>
            </w:r>
          </w:p>
        </w:tc>
        <w:tc>
          <w:tcPr>
            <w:tcW w:type="dxa" w:w="3500"/>
            <w:tcBorders>
              <w:top w:val="single" w:color="CCCCCC" w:sz="1"/>
              <w:left w:val="single" w:color="CCCCCC" w:sz="1"/>
              <w:bottom w:val="single" w:color="CCCCCC" w:sz="1"/>
              <w:right w:val="single" w:color="CCCCCC" w:sz="1"/>
            </w:tcBorders>
            <w:shd w:fill="E3F0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AI extracts merchant, date, amount, and category from the receipt photo automatically. Employee only needs to add business purpose (one field). For recurring travel, even that can be pre-populated from calendar context</w:t>
            </w:r>
          </w:p>
        </w:tc>
        <w:tc>
          <w:tcPr>
            <w:tcW w:type="dxa" w:w="30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Employee confirms or corrects AI-extracted data; adds context AI cannot infer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Expense report submitted for manager approval; manager reviews line by line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AI pre-screens every line against policy before submission. Flags out-of-policy items with specific rule citations. Policy-compliant reports auto-approved; only exceptions go to manager</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Manager reviews flagged exceptions only. Finance reviews pattern anomalies (e.g., same restaurant twice in one day)</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AP team processes approved expense reports; issues reimbursement via next payroll or check</w:t>
            </w:r>
          </w:p>
        </w:tc>
        <w:tc>
          <w:tcPr>
            <w:tcW w:type="dxa" w:w="3500"/>
            <w:tcBorders>
              <w:top w:val="single" w:color="CCCCCC" w:sz="1"/>
              <w:left w:val="single" w:color="CCCCCC" w:sz="1"/>
              <w:bottom w:val="single" w:color="CCCCCC" w:sz="1"/>
              <w:right w:val="single" w:color="CCCCCC" w:sz="1"/>
            </w:tcBorders>
            <w:shd w:fill="E3F0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Approved amounts automatically queued for ACH reimbursement on next scheduled run. Employee notified in real time</w:t>
            </w:r>
          </w:p>
        </w:tc>
        <w:tc>
          <w:tcPr>
            <w:tcW w:type="dxa" w:w="30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Payroll/AP staff monitors reimbursement exceptions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Finance manually analyzes T&amp;E spend quarterly — labor-intensive and backward-looking</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AI provides real-time T&amp;E analytics: spend by category, by person, by cost center, vs. budget. Identifies anomalies, policy trends, vendor consolidation opportunities</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CFO and department heads use dashboards to manage T&amp;E proactively</w:t>
            </w:r>
          </w:p>
        </w:tc>
      </w:tr>
    </w:tbl>
    <w:p>
      <w:pPr>
        <w:pStyle w:val="Heading2"/>
        <w:spacing w:after="140" w:before="280"/>
      </w:pPr>
      <w:r>
        <w:rPr>
          <w:rFonts w:ascii="Arial" w:cs="Arial" w:eastAsia="Arial" w:hAnsi="Arial"/>
          <w:b/>
          <w:bCs/>
          <w:color w:val="0077A8"/>
          <w:sz w:val="26"/>
          <w:szCs w:val="26"/>
        </w:rPr>
        <w:t xml:space="preserve">3.4 Payroll</w:t>
      </w:r>
    </w:p>
    <w:p>
      <w:pPr>
        <w:spacing w:after="140" w:before="60"/>
        <w:jc w:val="left"/>
      </w:pPr>
      <w:r>
        <w:rPr>
          <w:rFonts w:ascii="Arial" w:cs="Arial" w:eastAsia="Arial" w:hAnsi="Arial"/>
          <w:b w:val="false"/>
          <w:bCs w:val="false"/>
          <w:i w:val="false"/>
          <w:iCs w:val="false"/>
          <w:color w:val="222222"/>
          <w:sz w:val="20"/>
          <w:szCs w:val="20"/>
        </w:rPr>
        <w:t xml:space="preserve">Payroll is perhaps the most rule-bound function in finance — the rules are explicit (tax tables, benefit elections, state wage laws), the data is clean (HRIS feeds), and the output is highly structured. It is also extremely high-stakes: employees notice immediately if something is wrong. This combination of high rule clarity and high stakes makes payroll one of the strongest AI use cases.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W w:type="dxa" w:w="2800"/>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Traditional Approach</w:t>
            </w:r>
          </w:p>
        </w:tc>
        <w:tc>
          <w:tcPr>
            <w:tcW w:type="dxa" w:w="3500"/>
            <w:tcBorders>
              <w:top w:val="single" w:color="CCCCCC" w:sz="1"/>
              <w:left w:val="single" w:color="CCCCCC" w:sz="1"/>
              <w:bottom w:val="single" w:color="CCCCCC" w:sz="1"/>
              <w:right w:val="single" w:color="CCCCCC" w:sz="1"/>
            </w:tcBorders>
            <w:shd w:fill="0077A8"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AI-First Redesign</w:t>
            </w:r>
          </w:p>
        </w:tc>
        <w:tc>
          <w:tcPr>
            <w:tcW w:type="dxa" w:w="3060"/>
            <w:tcBorders>
              <w:top w:val="single" w:color="CCCCCC" w:sz="1"/>
              <w:left w:val="single" w:color="CCCCCC" w:sz="1"/>
              <w:bottom w:val="single" w:color="CCCCCC" w:sz="1"/>
              <w:right w:val="single" w:color="CCCCCC" w:sz="1"/>
            </w:tcBorders>
            <w:shd w:fill="2E5077"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The Human Role Remaining</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Payroll team pulls hours/changes from HRIS, manually enters adjustments, runs payroll calculations</w:t>
            </w:r>
          </w:p>
        </w:tc>
        <w:tc>
          <w:tcPr>
            <w:tcW w:type="dxa" w:w="3500"/>
            <w:tcBorders>
              <w:top w:val="single" w:color="CCCCCC" w:sz="1"/>
              <w:left w:val="single" w:color="CCCCCC" w:sz="1"/>
              <w:bottom w:val="single" w:color="CCCCCC" w:sz="1"/>
              <w:right w:val="single" w:color="CCCCCC" w:sz="1"/>
            </w:tcBorders>
            <w:shd w:fill="E3F0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AI ingests payroll inputs directly from HRIS and time system. Calculations are fully automated — gross pay, federal/state withholding, FICA, 401k, benefits deductions. Pre-calculation audit run flags anomalies vs. prior period</w:t>
            </w:r>
          </w:p>
        </w:tc>
        <w:tc>
          <w:tcPr>
            <w:tcW w:type="dxa" w:w="30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Payroll Manager reviews anomaly report — identifies new hires, terminations, salary changes, unusual deductions before transmission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Tax remittances calculated manually; risk of error or late payment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Tax deposits calculated and submitted automatically on required schedule (941 bi-weekly, state quarterly, etc.). FUTA/SUTA tracked by state</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VP Tax reviews tax remittances above threshold; payroll manager handles employee tax inquiries</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Year-end W-2 and 1099 processing is a months-long project</w:t>
            </w:r>
          </w:p>
        </w:tc>
        <w:tc>
          <w:tcPr>
            <w:tcW w:type="dxa" w:w="3500"/>
            <w:tcBorders>
              <w:top w:val="single" w:color="CCCCCC" w:sz="1"/>
              <w:left w:val="single" w:color="CCCCCC" w:sz="1"/>
              <w:bottom w:val="single" w:color="CCCCCC" w:sz="1"/>
              <w:right w:val="single" w:color="CCCCCC" w:sz="1"/>
            </w:tcBorders>
            <w:shd w:fill="E3F0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W-2s and 1099s generated continuously throughout year as data accumulates. Year-end is a verification of pre-built forms, not a data-entry marathon</w:t>
            </w:r>
          </w:p>
        </w:tc>
        <w:tc>
          <w:tcPr>
            <w:tcW w:type="dxa" w:w="30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Payroll Manager reviews and approves W-2 file; HR handles employee corrections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New hire onboarding requires manual data entry across multiple systems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HRIS integration triggers payroll setup automatically on first day. Tax forms (W-4) completed digitally; direct deposit confirmed via micro-deposit or instant verification</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HR/Payroll team handles onboarding exceptions; employees with complex situations (multiple states, equity grants)</w:t>
            </w:r>
          </w:p>
        </w:tc>
      </w:tr>
    </w:tbl>
    <w:p>
      <w:pPr>
        <w:pStyle w:val="Heading2"/>
        <w:spacing w:after="140" w:before="280"/>
      </w:pPr>
      <w:r>
        <w:rPr>
          <w:rFonts w:ascii="Arial" w:cs="Arial" w:eastAsia="Arial" w:hAnsi="Arial"/>
          <w:b/>
          <w:bCs/>
          <w:color w:val="0077A8"/>
          <w:sz w:val="26"/>
          <w:szCs w:val="26"/>
        </w:rPr>
        <w:t xml:space="preserve">3.5 General Ledger &amp; Month-End Close</w:t>
      </w:r>
    </w:p>
    <w:p>
      <w:pPr>
        <w:spacing w:after="140" w:before="60"/>
        <w:jc w:val="left"/>
      </w:pPr>
      <w:r>
        <w:rPr>
          <w:rFonts w:ascii="Arial" w:cs="Arial" w:eastAsia="Arial" w:hAnsi="Arial"/>
          <w:b w:val="false"/>
          <w:bCs w:val="false"/>
          <w:i w:val="false"/>
          <w:iCs w:val="false"/>
          <w:color w:val="222222"/>
          <w:sz w:val="20"/>
          <w:szCs w:val="20"/>
        </w:rPr>
        <w:t xml:space="preserve">The month-end close is often described as the most stressful period in any finance calendar. At Nexus, close takes 8–10 business days. Most of that time is not spent making decisions — it is spent gathering data, running reconciliations, preparing accruals, and chasing approvals. In an AI-first world, the close is compressed to 2–3 days of review and approval, because the data gathering and routine calculations happen continuously.</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W w:type="dxa" w:w="2800"/>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Traditional Approach</w:t>
            </w:r>
          </w:p>
        </w:tc>
        <w:tc>
          <w:tcPr>
            <w:tcW w:type="dxa" w:w="3500"/>
            <w:tcBorders>
              <w:top w:val="single" w:color="CCCCCC" w:sz="1"/>
              <w:left w:val="single" w:color="CCCCCC" w:sz="1"/>
              <w:bottom w:val="single" w:color="CCCCCC" w:sz="1"/>
              <w:right w:val="single" w:color="CCCCCC" w:sz="1"/>
            </w:tcBorders>
            <w:shd w:fill="0077A8"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AI-First Redesign</w:t>
            </w:r>
          </w:p>
        </w:tc>
        <w:tc>
          <w:tcPr>
            <w:tcW w:type="dxa" w:w="3060"/>
            <w:tcBorders>
              <w:top w:val="single" w:color="CCCCCC" w:sz="1"/>
              <w:left w:val="single" w:color="CCCCCC" w:sz="1"/>
              <w:bottom w:val="single" w:color="CCCCCC" w:sz="1"/>
              <w:right w:val="single" w:color="CCCCCC" w:sz="1"/>
            </w:tcBorders>
            <w:shd w:fill="2E5077"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The Human Role Remaining</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Accountants manually prepare accrual journal entries at month end, estimating uninvoiced amounts</w:t>
            </w:r>
          </w:p>
        </w:tc>
        <w:tc>
          <w:tcPr>
            <w:tcW w:type="dxa" w:w="3500"/>
            <w:tcBorders>
              <w:top w:val="single" w:color="CCCCCC" w:sz="1"/>
              <w:left w:val="single" w:color="CCCCCC" w:sz="1"/>
              <w:bottom w:val="single" w:color="CCCCCC" w:sz="1"/>
              <w:right w:val="single" w:color="CCCCCC" w:sz="1"/>
            </w:tcBorders>
            <w:shd w:fill="E3F0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AI maintains real-time accrual model: every approved PO with expected invoice date generates a standing accrual. When invoice arrives, accrual is reversed and replaced by actual. Zero estimation at month-end for known obligations</w:t>
            </w:r>
          </w:p>
        </w:tc>
        <w:tc>
          <w:tcPr>
            <w:tcW w:type="dxa" w:w="30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Controller reviews accrual completeness and adjusts for items AI cannot know (e.g., late-breaking contract changes)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Balance sheet reconciliations prepared manually by staff accountants — high risk of error</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AI prepares reconciliations continuously for all key balance sheet accounts. Exceptions are surfaced immediately, not discovered at month-end</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Senior Accountant reviews reconciliations; investigates and resolves items AI flags as unreconciled</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Intercompany eliminations and allocations manually calculated</w:t>
            </w:r>
          </w:p>
        </w:tc>
        <w:tc>
          <w:tcPr>
            <w:tcW w:type="dxa" w:w="3500"/>
            <w:tcBorders>
              <w:top w:val="single" w:color="CCCCCC" w:sz="1"/>
              <w:left w:val="single" w:color="CCCCCC" w:sz="1"/>
              <w:bottom w:val="single" w:color="CCCCCC" w:sz="1"/>
              <w:right w:val="single" w:color="CCCCCC" w:sz="1"/>
            </w:tcBorders>
            <w:shd w:fill="E3F0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Allocation rules configured once; AI applies them automatically each period. Intercompany balances monitored in real time</w:t>
            </w:r>
          </w:p>
        </w:tc>
        <w:tc>
          <w:tcPr>
            <w:tcW w:type="dxa" w:w="30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Controller reviews allocation methodology; updates rules when business changes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Financial statements prepared by FP&amp;A team, requiring multiple manual consolidation steps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Financial statements generated automatically from the continuously-maintained GL. Actuals available the morning after period end, not 8 days later</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VP Finance reviews and approves financial statements; CFO reviews before release to board</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Close status tracked in spreadsheets and email chains</w:t>
            </w:r>
          </w:p>
        </w:tc>
        <w:tc>
          <w:tcPr>
            <w:tcW w:type="dxa" w:w="3500"/>
            <w:tcBorders>
              <w:top w:val="single" w:color="CCCCCC" w:sz="1"/>
              <w:left w:val="single" w:color="CCCCCC" w:sz="1"/>
              <w:bottom w:val="single" w:color="CCCCCC" w:sz="1"/>
              <w:right w:val="single" w:color="CCCCCC" w:sz="1"/>
            </w:tcBorders>
            <w:shd w:fill="E3F0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Close checklist managed in real time by AI: each task has an owner, status, and dependency. Close dashboard visible to entire finance leadership team</w:t>
            </w:r>
          </w:p>
        </w:tc>
        <w:tc>
          <w:tcPr>
            <w:tcW w:type="dxa" w:w="30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Controller drives close process; tracks and resolves blockers</w:t>
            </w:r>
          </w:p>
        </w:tc>
      </w:tr>
    </w:tbl>
    <w:p>
      <w:pPr>
        <w:pStyle w:val="Heading2"/>
        <w:spacing w:after="140" w:before="280"/>
      </w:pPr>
      <w:r>
        <w:rPr>
          <w:rFonts w:ascii="Arial" w:cs="Arial" w:eastAsia="Arial" w:hAnsi="Arial"/>
          <w:b/>
          <w:bCs/>
          <w:color w:val="0077A8"/>
          <w:sz w:val="26"/>
          <w:szCs w:val="26"/>
        </w:rPr>
        <w:t xml:space="preserve">3.6 Clinical Trial &amp; Manufacturing Accounting (Pharma-Specific)</w:t>
      </w:r>
    </w:p>
    <w:p>
      <w:pPr>
        <w:spacing w:after="140" w:before="60"/>
        <w:jc w:val="left"/>
      </w:pPr>
      <w:r>
        <w:rPr>
          <w:rFonts w:ascii="Arial" w:cs="Arial" w:eastAsia="Arial" w:hAnsi="Arial"/>
          <w:b w:val="false"/>
          <w:bCs w:val="false"/>
          <w:i w:val="false"/>
          <w:iCs w:val="false"/>
          <w:color w:val="222222"/>
          <w:sz w:val="20"/>
          <w:szCs w:val="20"/>
        </w:rPr>
        <w:t xml:space="preserve">This is where the life sciences finance function diverges sharply from other industries — and where the complexity is high enough that most companies under-invest in rigor. Clinical trial accounting requires tracking multi-year, multi-site, multi-milestone contracts against actual activities — a matching problem of extraordinary complexity. CMO accounting requires allocating batch costs between COGS and R&amp;D, tracking inventory at the API and drug product level, and reconciling against quality release milestones.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W w:type="dxa" w:w="2800"/>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Traditional Approach</w:t>
            </w:r>
          </w:p>
        </w:tc>
        <w:tc>
          <w:tcPr>
            <w:tcW w:type="dxa" w:w="3500"/>
            <w:tcBorders>
              <w:top w:val="single" w:color="CCCCCC" w:sz="1"/>
              <w:left w:val="single" w:color="CCCCCC" w:sz="1"/>
              <w:bottom w:val="single" w:color="CCCCCC" w:sz="1"/>
              <w:right w:val="single" w:color="CCCCCC" w:sz="1"/>
            </w:tcBorders>
            <w:shd w:fill="0077A8"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AI-First Redesign</w:t>
            </w:r>
          </w:p>
        </w:tc>
        <w:tc>
          <w:tcPr>
            <w:tcW w:type="dxa" w:w="3060"/>
            <w:tcBorders>
              <w:top w:val="single" w:color="CCCCCC" w:sz="1"/>
              <w:left w:val="single" w:color="CCCCCC" w:sz="1"/>
              <w:bottom w:val="single" w:color="CCCCCC" w:sz="1"/>
              <w:right w:val="single" w:color="CCCCCC" w:sz="1"/>
            </w:tcBorders>
            <w:shd w:fill="2E5077"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The Human Role Remaining</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CRO accruals estimated monthly based on percentage completion — highly subjective and often inaccurate</w:t>
            </w:r>
          </w:p>
        </w:tc>
        <w:tc>
          <w:tcPr>
            <w:tcW w:type="dxa" w:w="3500"/>
            <w:tcBorders>
              <w:top w:val="single" w:color="CCCCCC" w:sz="1"/>
              <w:left w:val="single" w:color="CCCCCC" w:sz="1"/>
              <w:bottom w:val="single" w:color="CCCCCC" w:sz="1"/>
              <w:right w:val="single" w:color="CCCCCC" w:sz="1"/>
            </w:tcBorders>
            <w:shd w:fill="E3F0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AI maintains a dynamic model of each active clinical trial: enrolled patients by site, active vs. suspended sites, milestones achieved, protocol amendments, and projected completion rates. Accrual is calculated from actual activity data, not estimates</w:t>
            </w:r>
          </w:p>
        </w:tc>
        <w:tc>
          <w:tcPr>
            <w:tcW w:type="dxa" w:w="30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VP Clinical Operations confirms site-level activity data. Director of Clinical Science resolves disputes with CROs on milestone completion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CRO invoice arrives; AP team manually reconciles against budget and prior billings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Every CRO invoice validated against the trial budget model, SOW milestones, and pass-through actuals. Over-budget or out-of-scope items flagged before payment. Budget tracker updated automatically on payment</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Clinical Finance Analyst reviews flagged items; works with Clinical team on scope change disputes</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CMO batch costs manually allocated to COGS vs. R&amp;D based on intended use determination</w:t>
            </w:r>
          </w:p>
        </w:tc>
        <w:tc>
          <w:tcPr>
            <w:tcW w:type="dxa" w:w="3500"/>
            <w:tcBorders>
              <w:top w:val="single" w:color="CCCCCC" w:sz="1"/>
              <w:left w:val="single" w:color="CCCCCC" w:sz="1"/>
              <w:bottom w:val="single" w:color="CCCCCC" w:sz="1"/>
              <w:right w:val="single" w:color="CCCCCC" w:sz="1"/>
            </w:tcBorders>
            <w:shd w:fill="E3F0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AI tracks batch disposition: commercial batches to COGS, development/validation batches to R&amp;D. Determination triggered by batch record classification, not month-end discussion</w:t>
            </w:r>
          </w:p>
        </w:tc>
        <w:tc>
          <w:tcPr>
            <w:tcW w:type="dxa" w:w="30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Controller makes final GAAP determination on novel or ambiguous batches (e.g., process validation batches on the COGS/R&amp;D line)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FDA and DEA compliance costs tracked manually; risk of missed renewals and filings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Regulatory compliance calendar maintained by AI: DEA registration renewals, FDA user fee payments, IRB invoices, all tracked with automated escalation before deadlines</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Regulatory Affairs and Finance jointly own compliance calendar; VP Regulatory approves submissions</w:t>
            </w:r>
          </w:p>
        </w:tc>
      </w:tr>
    </w:tbl>
    <w:p>
      <w:pPr>
        <w:pStyle w:val="Heading2"/>
        <w:spacing w:after="140" w:before="280"/>
      </w:pPr>
      <w:r>
        <w:rPr>
          <w:rFonts w:ascii="Arial" w:cs="Arial" w:eastAsia="Arial" w:hAnsi="Arial"/>
          <w:b/>
          <w:bCs/>
          <w:color w:val="0077A8"/>
          <w:sz w:val="26"/>
          <w:szCs w:val="26"/>
        </w:rPr>
        <w:t xml:space="preserve">3.7 Revenue Recognition (ASC 606 / Gross-to-Net)</w:t>
      </w:r>
    </w:p>
    <w:p>
      <w:pPr>
        <w:spacing w:after="140" w:before="60"/>
        <w:jc w:val="left"/>
      </w:pPr>
      <w:r>
        <w:rPr>
          <w:rFonts w:ascii="Arial" w:cs="Arial" w:eastAsia="Arial" w:hAnsi="Arial"/>
          <w:b w:val="false"/>
          <w:bCs w:val="false"/>
          <w:i w:val="false"/>
          <w:iCs w:val="false"/>
          <w:color w:val="222222"/>
          <w:sz w:val="20"/>
          <w:szCs w:val="20"/>
        </w:rPr>
        <w:t xml:space="preserve">Revenue recognition is one of the highest-judgment areas of pharma finance. Under ASC 606, revenue is recognized when control transfers — which for pharmaceutical products distributed through wholesalers involves complex questions about sell-through timing, variable consideration (chargebacks, rebates, returns), and contract modifications. Getting this wrong has material financial statement implications.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W w:type="dxa" w:w="2800"/>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Traditional Approach</w:t>
            </w:r>
          </w:p>
        </w:tc>
        <w:tc>
          <w:tcPr>
            <w:tcW w:type="dxa" w:w="3500"/>
            <w:tcBorders>
              <w:top w:val="single" w:color="CCCCCC" w:sz="1"/>
              <w:left w:val="single" w:color="CCCCCC" w:sz="1"/>
              <w:bottom w:val="single" w:color="CCCCCC" w:sz="1"/>
              <w:right w:val="single" w:color="CCCCCC" w:sz="1"/>
            </w:tcBorders>
            <w:shd w:fill="0077A8"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AI-First Redesign</w:t>
            </w:r>
          </w:p>
        </w:tc>
        <w:tc>
          <w:tcPr>
            <w:tcW w:type="dxa" w:w="3060"/>
            <w:tcBorders>
              <w:top w:val="single" w:color="CCCCCC" w:sz="1"/>
              <w:left w:val="single" w:color="CCCCCC" w:sz="1"/>
              <w:bottom w:val="single" w:color="CCCCCC" w:sz="1"/>
              <w:right w:val="single" w:color="CCCCCC" w:sz="1"/>
            </w:tcBorders>
            <w:shd w:fill="2E5077"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The Human Role Remaining</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Revenue recognition memo prepared quarterly by Controller using point-in-time analysis</w:t>
            </w:r>
          </w:p>
        </w:tc>
        <w:tc>
          <w:tcPr>
            <w:tcW w:type="dxa" w:w="3500"/>
            <w:tcBorders>
              <w:top w:val="single" w:color="CCCCCC" w:sz="1"/>
              <w:left w:val="single" w:color="CCCCCC" w:sz="1"/>
              <w:bottom w:val="single" w:color="CCCCCC" w:sz="1"/>
              <w:right w:val="single" w:color="CCCCCC" w:sz="1"/>
            </w:tcBorders>
            <w:shd w:fill="E3F0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AI maintains a continuous revenue recognition model: each shipment tracked, variable consideration estimated using current data (chargeback rates, rebate experience, return rates by NDC), and revenue recognized on the correct timing basis</w:t>
            </w:r>
          </w:p>
        </w:tc>
        <w:tc>
          <w:tcPr>
            <w:tcW w:type="dxa" w:w="30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Controller and CFO own revenue recognition policy. Judgment applied to novel transactions, new product launches, and significant contract modifications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Gross-to-net reserves estimated using spreadsheets with significant manual inputs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AI calculates gross-to-net reserves at the NDC/customer/contract level using actual transaction history, current contract terms, and forward-looking utilization models. Reserve confidence intervals quantified and trended</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VP Finance reviews reserve adequacy and methodology. External auditors review AI's reserve model as part of audit procedures</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Collaboration revenue and milestone payments recognized based on manual analysis</w:t>
            </w:r>
          </w:p>
        </w:tc>
        <w:tc>
          <w:tcPr>
            <w:tcW w:type="dxa" w:w="3500"/>
            <w:tcBorders>
              <w:top w:val="single" w:color="CCCCCC" w:sz="1"/>
              <w:left w:val="single" w:color="CCCCCC" w:sz="1"/>
              <w:bottom w:val="single" w:color="CCCCCC" w:sz="1"/>
              <w:right w:val="single" w:color="CCCCCC" w:sz="1"/>
            </w:tcBorders>
            <w:shd w:fill="E3F0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AI applies the collaboration agreement terms (performance obligations, variable consideration, sales-based royalties) to each triggering event and proposes the revenue accounting entry</w:t>
            </w:r>
          </w:p>
        </w:tc>
        <w:tc>
          <w:tcPr>
            <w:tcW w:type="dxa" w:w="30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CFO and Controller make final determination; legal confirms contract interpretation</w:t>
            </w:r>
          </w:p>
        </w:tc>
      </w:tr>
    </w:tbl>
    <w:p>
      <w:pPr>
        <w:pStyle w:val="Heading2"/>
        <w:spacing w:after="140" w:before="280"/>
      </w:pPr>
      <w:r>
        <w:rPr>
          <w:rFonts w:ascii="Arial" w:cs="Arial" w:eastAsia="Arial" w:hAnsi="Arial"/>
          <w:b/>
          <w:bCs/>
          <w:color w:val="0077A8"/>
          <w:sz w:val="26"/>
          <w:szCs w:val="26"/>
        </w:rPr>
        <w:t xml:space="preserve">3.8 Financial Planning &amp; Analysis</w:t>
      </w:r>
    </w:p>
    <w:p>
      <w:pPr>
        <w:spacing w:after="140" w:before="60"/>
        <w:jc w:val="left"/>
      </w:pPr>
      <w:r>
        <w:rPr>
          <w:rFonts w:ascii="Arial" w:cs="Arial" w:eastAsia="Arial" w:hAnsi="Arial"/>
          <w:b w:val="false"/>
          <w:bCs w:val="false"/>
          <w:i w:val="false"/>
          <w:iCs w:val="false"/>
          <w:color w:val="222222"/>
          <w:sz w:val="20"/>
          <w:szCs w:val="20"/>
        </w:rPr>
        <w:t xml:space="preserve">FP&amp;A is where the finance function transitions from historian to strategist. In the traditional model, FP&amp;A spends most of its time gathering data from multiple sources and preparing the same standard reports. In the AI-first model, data gathering is eliminated — AI handles it continuously — and FP&amp;A becomes a team of translators between financial data and strategic insight.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W w:type="dxa" w:w="2800"/>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Traditional Approach</w:t>
            </w:r>
          </w:p>
        </w:tc>
        <w:tc>
          <w:tcPr>
            <w:tcW w:type="dxa" w:w="3500"/>
            <w:tcBorders>
              <w:top w:val="single" w:color="CCCCCC" w:sz="1"/>
              <w:left w:val="single" w:color="CCCCCC" w:sz="1"/>
              <w:bottom w:val="single" w:color="CCCCCC" w:sz="1"/>
              <w:right w:val="single" w:color="CCCCCC" w:sz="1"/>
            </w:tcBorders>
            <w:shd w:fill="0077A8"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AI-First Redesign</w:t>
            </w:r>
          </w:p>
        </w:tc>
        <w:tc>
          <w:tcPr>
            <w:tcW w:type="dxa" w:w="3060"/>
            <w:tcBorders>
              <w:top w:val="single" w:color="CCCCCC" w:sz="1"/>
              <w:left w:val="single" w:color="CCCCCC" w:sz="1"/>
              <w:bottom w:val="single" w:color="CCCCCC" w:sz="1"/>
              <w:right w:val="single" w:color="CCCCCC" w:sz="1"/>
            </w:tcBorders>
            <w:shd w:fill="2E5077"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The Human Role Remaining</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Annual budgeting process takes 8–12 weeks; involves hundreds of Excel files, hundreds of emails</w:t>
            </w:r>
          </w:p>
        </w:tc>
        <w:tc>
          <w:tcPr>
            <w:tcW w:type="dxa" w:w="3500"/>
            <w:tcBorders>
              <w:top w:val="single" w:color="CCCCCC" w:sz="1"/>
              <w:left w:val="single" w:color="CCCCCC" w:sz="1"/>
              <w:bottom w:val="single" w:color="CCCCCC" w:sz="1"/>
              <w:right w:val="single" w:color="CCCCCC" w:sz="1"/>
            </w:tcBorders>
            <w:shd w:fill="E3F0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AI generates a baseline budget from actuals, run-rate analysis, and pre-configured growth assumptions. Department heads review and adjust AI-generated baseline rather than building from zero. Budget cycle compresses to 3–4 weeks</w:t>
            </w:r>
          </w:p>
        </w:tc>
        <w:tc>
          <w:tcPr>
            <w:tcW w:type="dxa" w:w="30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VP FP&amp;A owns budget process. Department heads provide strategic context. CFO makes resource allocation decisions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Monthly variance analysis prepared by FP&amp;A team — significant manual work, backward-looking</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AI prepares variance commentary automatically: identifies material variances, explains them in plain English, and links them to known business events (e.g., 'CRO overage on LUMINANCE-1 due to protocol amendment #3')</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FP&amp;A Analyst reviews AI commentary for accuracy and context. Adds strategic narrative and recommendations</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Rolling forecast updated monthly through manual input gathering</w:t>
            </w:r>
          </w:p>
        </w:tc>
        <w:tc>
          <w:tcPr>
            <w:tcW w:type="dxa" w:w="3500"/>
            <w:tcBorders>
              <w:top w:val="single" w:color="CCCCCC" w:sz="1"/>
              <w:left w:val="single" w:color="CCCCCC" w:sz="1"/>
              <w:bottom w:val="single" w:color="CCCCCC" w:sz="1"/>
              <w:right w:val="single" w:color="CCCCCC" w:sz="1"/>
            </w:tcBorders>
            <w:shd w:fill="E3F0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Forecast updated continuously as actuals flow in. Scenario models (base/bull/bear) maintained in parallel and updated with each material assumption change</w:t>
            </w:r>
          </w:p>
        </w:tc>
        <w:tc>
          <w:tcPr>
            <w:tcW w:type="dxa" w:w="30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FP&amp;A Director owns forecast methodology. Leadership team uses AI-maintained scenarios for decision-making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CFO dashboard is a static PowerPoint updated by FP&amp;A before each meeting</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CFO dashboard is live: every metric — cash, revenue, pipeline milestones, clinical trial spend, net burn — updated in real time from source systems</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FP&amp;A provides narrative and strategic context to CFO. CFO uses dashboard for board and investor conversations</w:t>
            </w:r>
          </w:p>
        </w:tc>
      </w:tr>
    </w:tbl>
    <w:p>
      <w:pPr>
        <w:pStyle w:val="Heading2"/>
        <w:spacing w:after="140" w:before="280"/>
      </w:pPr>
      <w:r>
        <w:rPr>
          <w:rFonts w:ascii="Arial" w:cs="Arial" w:eastAsia="Arial" w:hAnsi="Arial"/>
          <w:b/>
          <w:bCs/>
          <w:color w:val="0077A8"/>
          <w:sz w:val="26"/>
          <w:szCs w:val="26"/>
        </w:rPr>
        <w:t xml:space="preserve">3.9 Treasury &amp; Cash Management</w:t>
      </w:r>
    </w:p>
    <w:p>
      <w:pPr>
        <w:spacing w:after="140" w:before="60"/>
        <w:jc w:val="left"/>
      </w:pPr>
      <w:r>
        <w:rPr>
          <w:rFonts w:ascii="Arial" w:cs="Arial" w:eastAsia="Arial" w:hAnsi="Arial"/>
          <w:b w:val="false"/>
          <w:bCs w:val="false"/>
          <w:i w:val="false"/>
          <w:iCs w:val="false"/>
          <w:color w:val="222222"/>
          <w:sz w:val="20"/>
          <w:szCs w:val="20"/>
        </w:rPr>
        <w:t xml:space="preserve">With $287 million in cash and investments, Nexus BioTherapeutics' treasury function is material. Cash management at a clinical-stage pharma company involves forecasting a multi-year cash runway, managing short-term investments, handling foreign exchange for international sites, and ensuring the company never runs short of operating cash. All of this is heavily data-driven.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W w:type="dxa" w:w="2800"/>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Traditional Approach</w:t>
            </w:r>
          </w:p>
        </w:tc>
        <w:tc>
          <w:tcPr>
            <w:tcW w:type="dxa" w:w="3500"/>
            <w:tcBorders>
              <w:top w:val="single" w:color="CCCCCC" w:sz="1"/>
              <w:left w:val="single" w:color="CCCCCC" w:sz="1"/>
              <w:bottom w:val="single" w:color="CCCCCC" w:sz="1"/>
              <w:right w:val="single" w:color="CCCCCC" w:sz="1"/>
            </w:tcBorders>
            <w:shd w:fill="0077A8"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AI-First Redesign</w:t>
            </w:r>
          </w:p>
        </w:tc>
        <w:tc>
          <w:tcPr>
            <w:tcW w:type="dxa" w:w="3060"/>
            <w:tcBorders>
              <w:top w:val="single" w:color="CCCCCC" w:sz="1"/>
              <w:left w:val="single" w:color="CCCCCC" w:sz="1"/>
              <w:bottom w:val="single" w:color="CCCCCC" w:sz="1"/>
              <w:right w:val="single" w:color="CCCCCC" w:sz="1"/>
            </w:tcBorders>
            <w:shd w:fill="2E5077"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The Human Role Remaining</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Weekly cash position prepared manually by treasury analyst from bank feeds</w:t>
            </w:r>
          </w:p>
        </w:tc>
        <w:tc>
          <w:tcPr>
            <w:tcW w:type="dxa" w:w="3500"/>
            <w:tcBorders>
              <w:top w:val="single" w:color="CCCCCC" w:sz="1"/>
              <w:left w:val="single" w:color="CCCCCC" w:sz="1"/>
              <w:bottom w:val="single" w:color="CCCCCC" w:sz="1"/>
              <w:right w:val="single" w:color="CCCCCC" w:sz="1"/>
            </w:tcBorders>
            <w:shd w:fill="E3F0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Cash position updated in real time from bank APIs. All three accounts (operating, payroll, treasury) reflected instantly. Outstanding wires and scheduled payments included in projected balance</w:t>
            </w:r>
          </w:p>
        </w:tc>
        <w:tc>
          <w:tcPr>
            <w:tcW w:type="dxa" w:w="30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VP Treasury monitors dashboard; escalates if projected cash falls below threshold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13-week cash flow forecast built in Excel, updated weekly with significant effort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AI maintains a rolling 52-week cash forecast integrating: AP payment schedule, AR collection probabilities, payroll schedule, CRO milestone payments, and revenue projections. Forecast updated daily</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VP Treasury and CFO review forecast; adjust investment maturities and credit facility usage based on projected cash needs</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Short-term investment decisions made ad hoc based on available cash</w:t>
            </w:r>
          </w:p>
        </w:tc>
        <w:tc>
          <w:tcPr>
            <w:tcW w:type="dxa" w:w="3500"/>
            <w:tcBorders>
              <w:top w:val="single" w:color="CCCCCC" w:sz="1"/>
              <w:left w:val="single" w:color="CCCCCC" w:sz="1"/>
              <w:bottom w:val="single" w:color="CCCCCC" w:sz="1"/>
              <w:right w:val="single" w:color="CCCCCC" w:sz="1"/>
            </w:tcBorders>
            <w:shd w:fill="E3F0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AI recommends investment ladder given cash forecast, investment policy, and current yield environment. Sweep accounts and money market allocations optimized automatically</w:t>
            </w:r>
          </w:p>
        </w:tc>
        <w:tc>
          <w:tcPr>
            <w:tcW w:type="dxa" w:w="30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VP Treasury approves investment transactions above threshold; maintains investment policy</w:t>
            </w:r>
          </w:p>
        </w:tc>
      </w:tr>
    </w:tbl>
    <w:p>
      <w:pPr>
        <w:pStyle w:val="Heading1"/>
        <w:pageBreakBefore/>
        <w:spacing w:after="180" w:before="360"/>
      </w:pPr>
      <w:r>
        <w:rPr>
          <w:rFonts w:ascii="Arial" w:cs="Arial" w:eastAsia="Arial" w:hAnsi="Arial"/>
          <w:b/>
          <w:bCs/>
          <w:color w:val="1A3A6B"/>
          <w:sz w:val="32"/>
          <w:szCs w:val="32"/>
        </w:rPr>
        <w:t xml:space="preserve">4. The New Finance Organization</w:t>
      </w:r>
    </w:p>
    <w:p>
      <w:pPr>
        <w:spacing w:after="140" w:before="60"/>
        <w:jc w:val="left"/>
      </w:pPr>
      <w:r>
        <w:rPr>
          <w:rFonts w:ascii="Arial" w:cs="Arial" w:eastAsia="Arial" w:hAnsi="Arial"/>
          <w:b w:val="false"/>
          <w:bCs w:val="false"/>
          <w:i w:val="false"/>
          <w:iCs w:val="false"/>
          <w:color w:val="222222"/>
          <w:sz w:val="20"/>
          <w:szCs w:val="20"/>
        </w:rPr>
        <w:t xml:space="preserve">The AI-first finance function at a Nexus-scale company does not employ 25–30 finance staff. It employs roughly 10–12, and they do fundamentally different work than their predecessors. This is not a small efficiency gain — it is a structural transformation of the function.</w:t>
      </w:r>
    </w:p>
    <w:p>
      <w:pPr>
        <w:spacing w:after="100" w:before="0"/>
      </w:pPr>
      <w:r>
        <w:t xml:space="preserve"/>
      </w:r>
    </w:p>
    <w:p>
      <w:pPr>
        <w:pStyle w:val="Heading2"/>
        <w:spacing w:after="140" w:before="280"/>
      </w:pPr>
      <w:r>
        <w:rPr>
          <w:rFonts w:ascii="Arial" w:cs="Arial" w:eastAsia="Arial" w:hAnsi="Arial"/>
          <w:b/>
          <w:bCs/>
          <w:color w:val="0077A8"/>
          <w:sz w:val="26"/>
          <w:szCs w:val="26"/>
        </w:rPr>
        <w:t xml:space="preserve">4.1 Traditional vs. AI-First Finance Org at Nexus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400"/>
        <w:gridCol w:w="1600"/>
        <w:gridCol w:w="1360"/>
      </w:tblGrid>
      <w:tr>
        <w:trPr>
          <w:tblHeader/>
        </w:trPr>
        <w:tc>
          <w:tcPr>
            <w:tcW w:type="dxa" w:w="2400"/>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Traditional Role</w:t>
            </w:r>
          </w:p>
        </w:tc>
        <w:tc>
          <w:tcPr>
            <w:tcW w:type="dxa" w:w="1600"/>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Traditional FTEs</w:t>
            </w:r>
          </w:p>
        </w:tc>
        <w:tc>
          <w:tcPr>
            <w:tcW w:type="dxa" w:w="2400"/>
            <w:tcBorders>
              <w:top w:val="single" w:color="CCCCCC" w:sz="1"/>
              <w:left w:val="single" w:color="CCCCCC" w:sz="1"/>
              <w:bottom w:val="single" w:color="CCCCCC" w:sz="1"/>
              <w:right w:val="single" w:color="CCCCCC" w:sz="1"/>
            </w:tcBorders>
            <w:shd w:fill="0077A8"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AI-First Role</w:t>
            </w:r>
          </w:p>
        </w:tc>
        <w:tc>
          <w:tcPr>
            <w:tcW w:type="dxa" w:w="1600"/>
            <w:tcBorders>
              <w:top w:val="single" w:color="CCCCCC" w:sz="1"/>
              <w:left w:val="single" w:color="CCCCCC" w:sz="1"/>
              <w:bottom w:val="single" w:color="CCCCCC" w:sz="1"/>
              <w:right w:val="single" w:color="CCCCCC" w:sz="1"/>
            </w:tcBorders>
            <w:shd w:fill="0077A8"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AI-First FTEs</w:t>
            </w:r>
          </w:p>
        </w:tc>
        <w:tc>
          <w:tcPr>
            <w:tcW w:type="dxa" w:w="1360"/>
            <w:tcBorders>
              <w:top w:val="single" w:color="CCCCCC" w:sz="1"/>
              <w:left w:val="single" w:color="CCCCCC" w:sz="1"/>
              <w:bottom w:val="single" w:color="CCCCCC" w:sz="1"/>
              <w:right w:val="single" w:color="CCCCCC" w:sz="1"/>
            </w:tcBorders>
            <w:shd w:fill="2E5077"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Disposition</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AP Specialists (invoice keying, matching, payment)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3</w:t>
            </w:r>
          </w:p>
        </w:tc>
        <w:tc>
          <w:tcPr>
            <w:tcW w:type="dxa" w:w="2400"/>
            <w:tcBorders>
              <w:top w:val="single" w:color="CCCCCC" w:sz="1"/>
              <w:left w:val="single" w:color="CCCCCC" w:sz="1"/>
              <w:bottom w:val="single" w:color="CCCCCC" w:sz="1"/>
              <w:right w:val="single" w:color="CCCCCC" w:sz="1"/>
            </w:tcBorders>
            <w:shd w:fill="E3F0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Finance Operations Manager (AI oversight, exception resolution)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1</w:t>
            </w:r>
          </w:p>
        </w:tc>
        <w:tc>
          <w:tcPr>
            <w:tcW w:type="dxa" w:w="13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after="40" w:before="40"/>
            </w:pPr>
            <w:r>
              <w:rPr>
                <w:rFonts w:ascii="Arial" w:cs="Arial" w:eastAsia="Arial" w:hAnsi="Arial"/>
                <w:b w:val="false"/>
                <w:bCs w:val="false"/>
                <w:i/>
                <w:iCs/>
                <w:color w:val="222222"/>
                <w:sz w:val="18"/>
                <w:szCs w:val="18"/>
              </w:rPr>
              <w:t xml:space="preserve">2 FTEs redeployed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AR Specialists (invoicing, cash application, collections)</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Revenue Accounting Analyst (chargebacks, gross-to-net)</w:t>
            </w:r>
          </w:p>
        </w:tc>
        <w:tc>
          <w:tcPr>
            <w:tcW w:type="dxa" w:w="1600"/>
            <w:tcBorders>
              <w:top w:val="single" w:color="CCCCCC" w:sz="1"/>
              <w:left w:val="single" w:color="CCCCCC" w:sz="1"/>
              <w:bottom w:val="single" w:color="CCCCCC" w:sz="1"/>
              <w:right w:val="single" w:color="CCCCCC" w:sz="1"/>
            </w:tcBorders>
            <w:shd w:fill="E3F0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1</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iCs/>
                <w:color w:val="222222"/>
                <w:sz w:val="18"/>
                <w:szCs w:val="18"/>
              </w:rPr>
              <w:t xml:space="preserve">1 FTE redeployed</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Payroll Coordinator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1</w:t>
            </w:r>
          </w:p>
        </w:tc>
        <w:tc>
          <w:tcPr>
            <w:tcW w:type="dxa" w:w="2400"/>
            <w:tcBorders>
              <w:top w:val="single" w:color="CCCCCC" w:sz="1"/>
              <w:left w:val="single" w:color="CCCCCC" w:sz="1"/>
              <w:bottom w:val="single" w:color="CCCCCC" w:sz="1"/>
              <w:right w:val="single" w:color="CCCCCC" w:sz="1"/>
            </w:tcBorders>
            <w:shd w:fill="E3F0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Absorbed into People Ops / HRIS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0.25</w:t>
            </w:r>
          </w:p>
        </w:tc>
        <w:tc>
          <w:tcPr>
            <w:tcW w:type="dxa" w:w="13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after="40" w:before="40"/>
            </w:pPr>
            <w:r>
              <w:rPr>
                <w:rFonts w:ascii="Arial" w:cs="Arial" w:eastAsia="Arial" w:hAnsi="Arial"/>
                <w:b w:val="false"/>
                <w:bCs w:val="false"/>
                <w:i/>
                <w:iCs/>
                <w:color w:val="222222"/>
                <w:sz w:val="18"/>
                <w:szCs w:val="18"/>
              </w:rPr>
              <w:t xml:space="preserve">0.75 FTE redeployed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Staff Accountants (reconciliations, JEs)</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Senior Accountant (reviews, approvals, complex items)</w:t>
            </w:r>
          </w:p>
        </w:tc>
        <w:tc>
          <w:tcPr>
            <w:tcW w:type="dxa" w:w="1600"/>
            <w:tcBorders>
              <w:top w:val="single" w:color="CCCCCC" w:sz="1"/>
              <w:left w:val="single" w:color="CCCCCC" w:sz="1"/>
              <w:bottom w:val="single" w:color="CCCCCC" w:sz="1"/>
              <w:right w:val="single" w:color="CCCCCC" w:sz="1"/>
            </w:tcBorders>
            <w:shd w:fill="E3F0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1</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iCs/>
                <w:color w:val="222222"/>
                <w:sz w:val="18"/>
                <w:szCs w:val="18"/>
              </w:rPr>
              <w:t xml:space="preserve">2 FTEs redeployed</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Financial Reporting Analyst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1</w:t>
            </w:r>
          </w:p>
        </w:tc>
        <w:tc>
          <w:tcPr>
            <w:tcW w:type="dxa" w:w="2400"/>
            <w:tcBorders>
              <w:top w:val="single" w:color="CCCCCC" w:sz="1"/>
              <w:left w:val="single" w:color="CCCCCC" w:sz="1"/>
              <w:bottom w:val="single" w:color="CCCCCC" w:sz="1"/>
              <w:right w:val="single" w:color="CCCCCC" w:sz="1"/>
            </w:tcBorders>
            <w:shd w:fill="E3F0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Financial Reporting Analyst (narrative, SEC filing)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1</w:t>
            </w:r>
          </w:p>
        </w:tc>
        <w:tc>
          <w:tcPr>
            <w:tcW w:type="dxa" w:w="13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after="40" w:before="40"/>
            </w:pPr>
            <w:r>
              <w:rPr>
                <w:rFonts w:ascii="Arial" w:cs="Arial" w:eastAsia="Arial" w:hAnsi="Arial"/>
                <w:b w:val="false"/>
                <w:bCs w:val="false"/>
                <w:i/>
                <w:iCs/>
                <w:color w:val="222222"/>
                <w:sz w:val="18"/>
                <w:szCs w:val="18"/>
              </w:rPr>
              <w:t xml:space="preserve">Role transformed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FP&amp;A Analysts</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FP&amp;A Analysts (scenario modeling, strategic support)</w:t>
            </w:r>
          </w:p>
        </w:tc>
        <w:tc>
          <w:tcPr>
            <w:tcW w:type="dxa" w:w="1600"/>
            <w:tcBorders>
              <w:top w:val="single" w:color="CCCCCC" w:sz="1"/>
              <w:left w:val="single" w:color="CCCCCC" w:sz="1"/>
              <w:bottom w:val="single" w:color="CCCCCC" w:sz="1"/>
              <w:right w:val="single" w:color="CCCCCC" w:sz="1"/>
            </w:tcBorders>
            <w:shd w:fill="E3F0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2</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iCs/>
                <w:color w:val="222222"/>
                <w:sz w:val="18"/>
                <w:szCs w:val="18"/>
              </w:rPr>
              <w:t xml:space="preserve">Role transformed — higher-value work</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Controller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1</w:t>
            </w:r>
          </w:p>
        </w:tc>
        <w:tc>
          <w:tcPr>
            <w:tcW w:type="dxa" w:w="2400"/>
            <w:tcBorders>
              <w:top w:val="single" w:color="CCCCCC" w:sz="1"/>
              <w:left w:val="single" w:color="CCCCCC" w:sz="1"/>
              <w:bottom w:val="single" w:color="CCCCCC" w:sz="1"/>
              <w:right w:val="single" w:color="CCCCCC" w:sz="1"/>
            </w:tcBorders>
            <w:shd w:fill="E3F0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Controller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1</w:t>
            </w:r>
          </w:p>
        </w:tc>
        <w:tc>
          <w:tcPr>
            <w:tcW w:type="dxa" w:w="13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after="40" w:before="40"/>
            </w:pPr>
            <w:r>
              <w:rPr>
                <w:rFonts w:ascii="Arial" w:cs="Arial" w:eastAsia="Arial" w:hAnsi="Arial"/>
                <w:b w:val="false"/>
                <w:bCs w:val="false"/>
                <w:i/>
                <w:iCs/>
                <w:color w:val="222222"/>
                <w:sz w:val="18"/>
                <w:szCs w:val="18"/>
              </w:rPr>
              <w:t xml:space="preserve">Role transformed — more strategic</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VP Finance</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VP Finance</w:t>
            </w:r>
          </w:p>
        </w:tc>
        <w:tc>
          <w:tcPr>
            <w:tcW w:type="dxa" w:w="1600"/>
            <w:tcBorders>
              <w:top w:val="single" w:color="CCCCCC" w:sz="1"/>
              <w:left w:val="single" w:color="CCCCCC" w:sz="1"/>
              <w:bottom w:val="single" w:color="CCCCCC" w:sz="1"/>
              <w:right w:val="single" w:color="CCCCCC" w:sz="1"/>
            </w:tcBorders>
            <w:shd w:fill="E3F0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1</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iCs/>
                <w:color w:val="222222"/>
                <w:sz w:val="18"/>
                <w:szCs w:val="18"/>
              </w:rPr>
              <w:t xml:space="preserve">Unchanged</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VP FP&amp;A</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1</w:t>
            </w:r>
          </w:p>
        </w:tc>
        <w:tc>
          <w:tcPr>
            <w:tcW w:type="dxa" w:w="2400"/>
            <w:tcBorders>
              <w:top w:val="single" w:color="CCCCCC" w:sz="1"/>
              <w:left w:val="single" w:color="CCCCCC" w:sz="1"/>
              <w:bottom w:val="single" w:color="CCCCCC" w:sz="1"/>
              <w:right w:val="single" w:color="CCCCCC" w:sz="1"/>
            </w:tcBorders>
            <w:shd w:fill="E3F0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VP FP&amp;A</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1</w:t>
            </w:r>
          </w:p>
        </w:tc>
        <w:tc>
          <w:tcPr>
            <w:tcW w:type="dxa" w:w="13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after="40" w:before="40"/>
            </w:pPr>
            <w:r>
              <w:rPr>
                <w:rFonts w:ascii="Arial" w:cs="Arial" w:eastAsia="Arial" w:hAnsi="Arial"/>
                <w:b w:val="false"/>
                <w:bCs w:val="false"/>
                <w:i/>
                <w:iCs/>
                <w:color w:val="222222"/>
                <w:sz w:val="18"/>
                <w:szCs w:val="18"/>
              </w:rPr>
              <w:t xml:space="preserve">Unchanged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VP Treasury / Tax</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VP Treasury / Tax</w:t>
            </w:r>
          </w:p>
        </w:tc>
        <w:tc>
          <w:tcPr>
            <w:tcW w:type="dxa" w:w="1600"/>
            <w:tcBorders>
              <w:top w:val="single" w:color="CCCCCC" w:sz="1"/>
              <w:left w:val="single" w:color="CCCCCC" w:sz="1"/>
              <w:bottom w:val="single" w:color="CCCCCC" w:sz="1"/>
              <w:right w:val="single" w:color="CCCCCC" w:sz="1"/>
            </w:tcBorders>
            <w:shd w:fill="E3F0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2</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iCs/>
                <w:color w:val="222222"/>
                <w:sz w:val="18"/>
                <w:szCs w:val="18"/>
              </w:rPr>
              <w:t xml:space="preserve">Unchanged</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IT / ERP Admin (Finance)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1</w:t>
            </w:r>
          </w:p>
        </w:tc>
        <w:tc>
          <w:tcPr>
            <w:tcW w:type="dxa" w:w="2400"/>
            <w:tcBorders>
              <w:top w:val="single" w:color="CCCCCC" w:sz="1"/>
              <w:left w:val="single" w:color="CCCCCC" w:sz="1"/>
              <w:bottom w:val="single" w:color="CCCCCC" w:sz="1"/>
              <w:right w:val="single" w:color="CCCCCC" w:sz="1"/>
            </w:tcBorders>
            <w:shd w:fill="E3F0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AI Finance Systems Manager (new role)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1</w:t>
            </w:r>
          </w:p>
        </w:tc>
        <w:tc>
          <w:tcPr>
            <w:tcW w:type="dxa" w:w="13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after="40" w:before="40"/>
            </w:pPr>
            <w:r>
              <w:rPr>
                <w:rFonts w:ascii="Arial" w:cs="Arial" w:eastAsia="Arial" w:hAnsi="Arial"/>
                <w:b w:val="false"/>
                <w:bCs w:val="false"/>
                <w:i/>
                <w:iCs/>
                <w:color w:val="222222"/>
                <w:sz w:val="18"/>
                <w:szCs w:val="18"/>
              </w:rPr>
              <w:t xml:space="preserve">New role — critical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CFO</w:t>
            </w:r>
          </w:p>
        </w:tc>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CFO</w:t>
            </w:r>
          </w:p>
        </w:tc>
        <w:tc>
          <w:tcPr>
            <w:tcW w:type="dxa" w:w="1600"/>
            <w:tcBorders>
              <w:top w:val="single" w:color="CCCCCC" w:sz="1"/>
              <w:left w:val="single" w:color="CCCCCC" w:sz="1"/>
              <w:bottom w:val="single" w:color="CCCCCC" w:sz="1"/>
              <w:right w:val="single" w:color="CCCCCC" w:sz="1"/>
            </w:tcBorders>
            <w:shd w:fill="E3F0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1</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iCs/>
                <w:color w:val="222222"/>
                <w:sz w:val="18"/>
                <w:szCs w:val="18"/>
              </w:rPr>
              <w:t xml:space="preserve">Unchanged</w:t>
            </w:r>
          </w:p>
        </w:tc>
      </w:tr>
      <w:tr>
        <w:tc>
          <w:tcPr>
            <w:tcW w:type="dxa" w:w="2400"/>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FFFFFF"/>
                <w:sz w:val="18"/>
                <w:szCs w:val="18"/>
              </w:rPr>
              <w:t xml:space="preserve">TOTAL</w:t>
            </w:r>
          </w:p>
        </w:tc>
        <w:tc>
          <w:tcPr>
            <w:tcW w:type="dxa" w:w="1600"/>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FFFFFF"/>
                <w:sz w:val="18"/>
                <w:szCs w:val="18"/>
              </w:rPr>
              <w:t xml:space="preserve">~19 FTEs</w:t>
            </w:r>
          </w:p>
        </w:tc>
        <w:tc>
          <w:tcPr>
            <w:tcW w:type="dxa" w:w="2400"/>
            <w:tcBorders>
              <w:top w:val="single" w:color="CCCCCC" w:sz="1"/>
              <w:left w:val="single" w:color="CCCCCC" w:sz="1"/>
              <w:bottom w:val="single" w:color="CCCCCC" w:sz="1"/>
              <w:right w:val="single" w:color="CCCCCC" w:sz="1"/>
            </w:tcBorders>
            <w:shd w:fill="0077A8"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FFFFFF"/>
                <w:sz w:val="18"/>
                <w:szCs w:val="18"/>
              </w:rPr>
              <w:t xml:space="preserve"/>
            </w:r>
          </w:p>
        </w:tc>
        <w:tc>
          <w:tcPr>
            <w:tcW w:type="dxa" w:w="1600"/>
            <w:tcBorders>
              <w:top w:val="single" w:color="CCCCCC" w:sz="1"/>
              <w:left w:val="single" w:color="CCCCCC" w:sz="1"/>
              <w:bottom w:val="single" w:color="CCCCCC" w:sz="1"/>
              <w:right w:val="single" w:color="CCCCCC" w:sz="1"/>
            </w:tcBorders>
            <w:shd w:fill="0077A8"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FFFFFF"/>
                <w:sz w:val="18"/>
                <w:szCs w:val="18"/>
              </w:rPr>
              <w:t xml:space="preserve">~12 FTEs</w:t>
            </w:r>
          </w:p>
        </w:tc>
        <w:tc>
          <w:tcPr>
            <w:tcW w:type="dxa" w:w="1360"/>
            <w:tcBorders>
              <w:top w:val="single" w:color="CCCCCC" w:sz="1"/>
              <w:left w:val="single" w:color="CCCCCC" w:sz="1"/>
              <w:bottom w:val="single" w:color="CCCCCC" w:sz="1"/>
              <w:right w:val="single" w:color="CCCCCC" w:sz="1"/>
            </w:tcBorders>
            <w:shd w:fill="2E5077"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FFFFFF"/>
                <w:sz w:val="18"/>
                <w:szCs w:val="18"/>
              </w:rPr>
              <w:t xml:space="preserve">~7 FTEs redeployed</w:t>
            </w:r>
          </w:p>
        </w:tc>
      </w:tr>
    </w:tbl>
    <w:p>
      <w:pPr>
        <w:spacing w:after="100" w:before="0"/>
      </w:pPr>
      <w:r>
        <w:t xml:space="preserve"/>
      </w:r>
    </w:p>
    <w:p>
      <w:pPr>
        <w:spacing w:after="140" w:before="60"/>
        <w:jc w:val="left"/>
      </w:pPr>
      <w:r>
        <w:rPr>
          <w:rFonts w:ascii="Arial" w:cs="Arial" w:eastAsia="Arial" w:hAnsi="Arial"/>
          <w:b w:val="false"/>
          <w:bCs w:val="false"/>
          <w:i/>
          <w:iCs/>
          <w:color w:val="222222"/>
          <w:sz w:val="20"/>
          <w:szCs w:val="20"/>
        </w:rPr>
        <w:t xml:space="preserve">Note: 'redeployed' does not mean laid off. In a growing pharma company, finance headcount freed from transaction processing is typically redeployed to commercial analytics, clinical operations support, investor relations support, and business development due diligence. The finance function becomes a source of strategic intelligence, not just a cost center.</w:t>
      </w:r>
    </w:p>
    <w:p>
      <w:pPr>
        <w:pStyle w:val="Heading1"/>
        <w:pageBreakBefore/>
        <w:spacing w:after="180" w:before="360"/>
      </w:pPr>
      <w:r>
        <w:rPr>
          <w:rFonts w:ascii="Arial" w:cs="Arial" w:eastAsia="Arial" w:hAnsi="Arial"/>
          <w:b/>
          <w:bCs/>
          <w:color w:val="1A3A6B"/>
          <w:sz w:val="32"/>
          <w:szCs w:val="32"/>
        </w:rPr>
        <w:t xml:space="preserve">5. Implementation Roadmap</w:t>
      </w:r>
    </w:p>
    <w:p>
      <w:pPr>
        <w:spacing w:after="140" w:before="60"/>
        <w:jc w:val="left"/>
      </w:pPr>
      <w:r>
        <w:rPr>
          <w:rFonts w:ascii="Arial" w:cs="Arial" w:eastAsia="Arial" w:hAnsi="Arial"/>
          <w:b w:val="false"/>
          <w:bCs w:val="false"/>
          <w:i w:val="false"/>
          <w:iCs w:val="false"/>
          <w:color w:val="222222"/>
          <w:sz w:val="20"/>
          <w:szCs w:val="20"/>
        </w:rPr>
        <w:t xml:space="preserve">The transformation does not happen overnight, and it should not. A phased approach starts with the highest-volume, most rule-driven functions — where AI accuracy is highest and risk of error is most recoverable — and progressively moves up the value stack as confidence and organizational trust build.</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360"/>
        <w:gridCol w:w="1800"/>
        <w:gridCol w:w="1800"/>
      </w:tblGrid>
      <w:tr>
        <w:trPr>
          <w:tblHeader/>
        </w:trPr>
        <w:tc>
          <w:tcPr>
            <w:tcW w:type="dxa" w:w="1400"/>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Phase</w:t>
            </w:r>
          </w:p>
        </w:tc>
        <w:tc>
          <w:tcPr>
            <w:tcW w:type="dxa" w:w="2000"/>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Timeline</w:t>
            </w:r>
          </w:p>
        </w:tc>
        <w:tc>
          <w:tcPr>
            <w:tcW w:type="dxa" w:w="2360"/>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Functions in Scope</w:t>
            </w:r>
          </w:p>
        </w:tc>
        <w:tc>
          <w:tcPr>
            <w:tcW w:type="dxa" w:w="1800"/>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Expected Impact</w:t>
            </w:r>
          </w:p>
        </w:tc>
        <w:tc>
          <w:tcPr>
            <w:tcW w:type="dxa" w:w="1800"/>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Key Risk</w:t>
            </w:r>
          </w:p>
        </w:tc>
      </w:tr>
      <w:tr>
        <w:tc>
          <w:tcPr>
            <w:tcW w:type="dxa" w:w="1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222222"/>
                <w:sz w:val="18"/>
                <w:szCs w:val="18"/>
              </w:rPr>
              <w:t xml:space="preserve">Phase 1: Transaction Layer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Months 1–6</w:t>
            </w:r>
          </w:p>
        </w:tc>
        <w:tc>
          <w:tcPr>
            <w:tcW w:type="dxa" w:w="2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AP (invoice ingestion, matching, payment), T&amp;E (receipt capture, policy check), Payroll (calculation, tax remittance)</w:t>
            </w:r>
          </w:p>
        </w:tc>
        <w:tc>
          <w:tcPr>
            <w:tcW w:type="dxa" w:w="18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50–60% reduction in AP/T&amp;E labor cost; cycle times from days to hours</w:t>
            </w:r>
          </w:p>
        </w:tc>
        <w:tc>
          <w:tcPr>
            <w:tcW w:type="dxa" w:w="18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Vendor data quality; change management for AP team</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222222"/>
                <w:sz w:val="18"/>
                <w:szCs w:val="18"/>
              </w:rPr>
              <w:t xml:space="preserve">Phase 2: The Accounting Layer</w:t>
            </w:r>
          </w:p>
        </w:tc>
        <w:tc>
          <w:tcPr>
            <w:tcW w:type="dxa" w:w="2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Months 4–12</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GL / month-end close (accruals, reconciliations), AR (chargebacks, cash application), Bank reconciliation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Close compressed from 10 days to 3–4 days; AR dispute resolution faster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Accrual model accuracy; auditor acceptance of AI-generated JEs</w:t>
            </w:r>
          </w:p>
        </w:tc>
      </w:tr>
      <w:tr>
        <w:tc>
          <w:tcPr>
            <w:tcW w:type="dxa" w:w="1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222222"/>
                <w:sz w:val="18"/>
                <w:szCs w:val="18"/>
              </w:rPr>
              <w:t xml:space="preserve">Phase 3: Reporting &amp; Clinical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Months 8–18</w:t>
            </w:r>
          </w:p>
        </w:tc>
        <w:tc>
          <w:tcPr>
            <w:tcW w:type="dxa" w:w="2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Financial reporting (P&amp;L, cash flow), CRO/CMO accounting, Revenue recognition (gross-to-net)</w:t>
            </w:r>
          </w:p>
        </w:tc>
        <w:tc>
          <w:tcPr>
            <w:tcW w:type="dxa" w:w="18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Continuous financial visibility; clinical trial cost accuracy improves materially</w:t>
            </w:r>
          </w:p>
        </w:tc>
        <w:tc>
          <w:tcPr>
            <w:tcW w:type="dxa" w:w="18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CRO cooperation on data sharing; ASC 606 judgment documentation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222222"/>
                <w:sz w:val="18"/>
                <w:szCs w:val="18"/>
              </w:rPr>
              <w:t xml:space="preserve">Phase 4: Strategic Finance</w:t>
            </w:r>
          </w:p>
        </w:tc>
        <w:tc>
          <w:tcPr>
            <w:tcW w:type="dxa" w:w="2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Months 14–24</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FP&amp;A / budget, Treasury forecast, Board reporting, CFO dashboard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Board package preparation: from 2 weeks to 2 days; strategic scenarios on demand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Over-reliance on AI forecasts; board/investor education</w:t>
            </w:r>
          </w:p>
        </w:tc>
      </w:tr>
    </w:tbl>
    <w:p>
      <w:pPr>
        <w:pStyle w:val="Heading1"/>
        <w:pageBreakBefore/>
        <w:spacing w:after="180" w:before="360"/>
      </w:pPr>
      <w:r>
        <w:rPr>
          <w:rFonts w:ascii="Arial" w:cs="Arial" w:eastAsia="Arial" w:hAnsi="Arial"/>
          <w:b/>
          <w:bCs/>
          <w:color w:val="1A3A6B"/>
          <w:sz w:val="32"/>
          <w:szCs w:val="32"/>
        </w:rPr>
        <w:t xml:space="preserve">6. The Skeptic's Corner — Questions CFOs Will Ask</w:t>
      </w:r>
    </w:p>
    <w:p>
      <w:pPr>
        <w:spacing w:after="140" w:before="60"/>
        <w:jc w:val="left"/>
      </w:pPr>
      <w:r>
        <w:rPr>
          <w:rFonts w:ascii="Arial" w:cs="Arial" w:eastAsia="Arial" w:hAnsi="Arial"/>
          <w:b w:val="false"/>
          <w:bCs w:val="false"/>
          <w:i w:val="false"/>
          <w:iCs w:val="false"/>
          <w:color w:val="222222"/>
          <w:sz w:val="20"/>
          <w:szCs w:val="20"/>
        </w:rPr>
        <w:t xml:space="preserve">This section anticipates the hardest challenges a skeptical CFO will raise. These are not strawmen — they are legitimate concerns that deserve direct answers.</w:t>
      </w:r>
    </w:p>
    <w:p>
      <w:pPr>
        <w:spacing w:after="100" w:before="0"/>
      </w:pPr>
      <w:r>
        <w:t xml:space="preserve"/>
      </w:r>
    </w:p>
    <w:p>
      <w:pPr>
        <w:pStyle w:val="Heading2"/>
        <w:spacing w:after="140" w:before="280"/>
      </w:pPr>
      <w:r>
        <w:rPr>
          <w:rFonts w:ascii="Arial" w:cs="Arial" w:eastAsia="Arial" w:hAnsi="Arial"/>
          <w:b/>
          <w:bCs/>
          <w:color w:val="0077A8"/>
          <w:sz w:val="26"/>
          <w:szCs w:val="26"/>
        </w:rPr>
        <w:t xml:space="preserve">"What happens when the AI makes a mistake?"</w:t>
      </w:r>
    </w:p>
    <w:p>
      <w:pPr>
        <w:spacing w:after="140" w:before="60"/>
        <w:jc w:val="left"/>
      </w:pPr>
      <w:r>
        <w:rPr>
          <w:rFonts w:ascii="Arial" w:cs="Arial" w:eastAsia="Arial" w:hAnsi="Arial"/>
          <w:b w:val="false"/>
          <w:bCs w:val="false"/>
          <w:i w:val="false"/>
          <w:iCs w:val="false"/>
          <w:color w:val="222222"/>
          <w:sz w:val="20"/>
          <w:szCs w:val="20"/>
        </w:rPr>
        <w:t xml:space="preserve">AI will make mistakes. So do humans — and human mistakes in finance are less visible and less systematic. The key is designing for error detection, not error prevention. The AI-first model includes: confidence scoring on every output (low-confidence items escalate to humans), a complete and immutable audit trail of every AI action and the data it used, anomaly detection that flags outputs which are statistically unusual, and a human oversight layer that reviews statistical summaries of AI performance, not just individual transactions.</w:t>
      </w:r>
    </w:p>
    <w:p>
      <w:pPr>
        <w:spacing w:after="140" w:before="60"/>
        <w:jc w:val="left"/>
      </w:pPr>
      <w:r>
        <w:rPr>
          <w:rFonts w:ascii="Arial" w:cs="Arial" w:eastAsia="Arial" w:hAnsi="Arial"/>
          <w:b w:val="false"/>
          <w:bCs w:val="false"/>
          <w:i w:val="false"/>
          <w:iCs w:val="false"/>
          <w:color w:val="222222"/>
          <w:sz w:val="20"/>
          <w:szCs w:val="20"/>
        </w:rPr>
        <w:t xml:space="preserve">In practice, the error rate from a well-trained invoice extraction model is lower than the error rate from manual data entry. The difference is that AI errors are systematic (and therefore detectable), while human errors are random (and therefore harder to catch).</w:t>
      </w:r>
    </w:p>
    <w:p>
      <w:pPr>
        <w:spacing w:after="100" w:before="0"/>
      </w:pPr>
      <w:r>
        <w:t xml:space="preserve"/>
      </w:r>
    </w:p>
    <w:p>
      <w:pPr>
        <w:pStyle w:val="Heading2"/>
        <w:spacing w:after="140" w:before="280"/>
      </w:pPr>
      <w:r>
        <w:rPr>
          <w:rFonts w:ascii="Arial" w:cs="Arial" w:eastAsia="Arial" w:hAnsi="Arial"/>
          <w:b/>
          <w:bCs/>
          <w:color w:val="0077A8"/>
          <w:sz w:val="26"/>
          <w:szCs w:val="26"/>
        </w:rPr>
        <w:t xml:space="preserve">"Will our auditors accept AI-generated financial statements?"</w:t>
      </w:r>
    </w:p>
    <w:p>
      <w:pPr>
        <w:spacing w:after="140" w:before="60"/>
        <w:jc w:val="left"/>
      </w:pPr>
      <w:r>
        <w:rPr>
          <w:rFonts w:ascii="Arial" w:cs="Arial" w:eastAsia="Arial" w:hAnsi="Arial"/>
          <w:b w:val="false"/>
          <w:bCs w:val="false"/>
          <w:i w:val="false"/>
          <w:iCs w:val="false"/>
          <w:color w:val="222222"/>
          <w:sz w:val="20"/>
          <w:szCs w:val="20"/>
        </w:rPr>
        <w:t xml:space="preserve">This is evolving rapidly. The Big Four audit firms are all building AI audit capabilities. The key is documentation: auditors need to understand the AI model, its training data, its validation process, and its controls. An AI-first finance function with good documentation is more auditable than a traditional function, not less — because every journal entry traces to a source document and a specific rule, rather than to 'Maria keyed it in on Wednesday.'</w:t>
      </w:r>
    </w:p>
    <w:p>
      <w:pPr>
        <w:spacing w:after="140" w:before="60"/>
        <w:jc w:val="left"/>
      </w:pPr>
      <w:r>
        <w:rPr>
          <w:rFonts w:ascii="Arial" w:cs="Arial" w:eastAsia="Arial" w:hAnsi="Arial"/>
          <w:b w:val="false"/>
          <w:bCs w:val="false"/>
          <w:i w:val="false"/>
          <w:iCs w:val="false"/>
          <w:color w:val="222222"/>
          <w:sz w:val="20"/>
          <w:szCs w:val="20"/>
        </w:rPr>
        <w:t xml:space="preserve">Practical approach: discuss with your auditor in Phase 1. Most are developing frameworks for this. SOC 2 or similar certification of the AI system provides auditors the assurance they need.</w:t>
      </w:r>
    </w:p>
    <w:p>
      <w:pPr>
        <w:spacing w:after="100" w:before="0"/>
      </w:pPr>
      <w:r>
        <w:t xml:space="preserve"/>
      </w:r>
    </w:p>
    <w:p>
      <w:pPr>
        <w:pStyle w:val="Heading2"/>
        <w:spacing w:after="140" w:before="280"/>
      </w:pPr>
      <w:r>
        <w:rPr>
          <w:rFonts w:ascii="Arial" w:cs="Arial" w:eastAsia="Arial" w:hAnsi="Arial"/>
          <w:b/>
          <w:bCs/>
          <w:color w:val="0077A8"/>
          <w:sz w:val="26"/>
          <w:szCs w:val="26"/>
        </w:rPr>
        <w:t xml:space="preserve">"What about SOX compliance?"</w:t>
      </w:r>
    </w:p>
    <w:p>
      <w:pPr>
        <w:spacing w:after="140" w:before="60"/>
        <w:jc w:val="left"/>
      </w:pPr>
      <w:r>
        <w:rPr>
          <w:rFonts w:ascii="Arial" w:cs="Arial" w:eastAsia="Arial" w:hAnsi="Arial"/>
          <w:b w:val="false"/>
          <w:bCs w:val="false"/>
          <w:i w:val="false"/>
          <w:iCs w:val="false"/>
          <w:color w:val="222222"/>
          <w:sz w:val="20"/>
          <w:szCs w:val="20"/>
        </w:rPr>
        <w:t xml:space="preserve">SOX requires that management assess and certify the effectiveness of internal controls over financial reporting. AI-first finance, properly designed, strengthens SOX compliance rather than weakening it. Controls that previously depended on individual humans following checklists are replaced by deterministic system controls — which are inherently more consistent and auditable. The SOX assessment shifts from 'did the person follow the procedure?' to 'is the AI system performing within validated parameters?'</w:t>
      </w:r>
    </w:p>
    <w:p>
      <w:pPr>
        <w:spacing w:after="140" w:before="60"/>
        <w:jc w:val="left"/>
      </w:pPr>
      <w:r>
        <w:rPr>
          <w:rFonts w:ascii="Arial" w:cs="Arial" w:eastAsia="Arial" w:hAnsi="Arial"/>
          <w:b w:val="false"/>
          <w:bCs w:val="false"/>
          <w:i w:val="false"/>
          <w:iCs w:val="false"/>
          <w:color w:val="222222"/>
          <w:sz w:val="20"/>
          <w:szCs w:val="20"/>
        </w:rPr>
        <w:t xml:space="preserve">The IT General Controls review expands in scope — the AI systems themselves become part of the control environment — but the overall risk profile improves.</w:t>
      </w:r>
    </w:p>
    <w:p>
      <w:pPr>
        <w:spacing w:after="100" w:before="0"/>
      </w:pPr>
      <w:r>
        <w:t xml:space="preserve"/>
      </w:r>
    </w:p>
    <w:p>
      <w:pPr>
        <w:pStyle w:val="Heading2"/>
        <w:spacing w:after="140" w:before="280"/>
      </w:pPr>
      <w:r>
        <w:rPr>
          <w:rFonts w:ascii="Arial" w:cs="Arial" w:eastAsia="Arial" w:hAnsi="Arial"/>
          <w:b/>
          <w:bCs/>
          <w:color w:val="0077A8"/>
          <w:sz w:val="26"/>
          <w:szCs w:val="26"/>
        </w:rPr>
        <w:t xml:space="preserve">"What if a vendor sends an invoice in a weird format?"</w:t>
      </w:r>
    </w:p>
    <w:p>
      <w:pPr>
        <w:spacing w:after="140" w:before="60"/>
        <w:jc w:val="left"/>
      </w:pPr>
      <w:r>
        <w:rPr>
          <w:rFonts w:ascii="Arial" w:cs="Arial" w:eastAsia="Arial" w:hAnsi="Arial"/>
          <w:b w:val="false"/>
          <w:bCs w:val="false"/>
          <w:i w:val="false"/>
          <w:iCs w:val="false"/>
          <w:color w:val="222222"/>
          <w:sz w:val="20"/>
          <w:szCs w:val="20"/>
        </w:rPr>
        <w:t xml:space="preserve">Multimodal AI models (vision + language) are now capable of extracting structured data from virtually any document format — including handwritten invoices, scanned faxes, photographs of paper receipts, and non-standard PDFs. The companion document library for this workshop includes examples of each. Accuracy is high (95%+) on clean documents and 85%+ on poor-quality scans. Confidence scores identify low-confidence extractions for human review.</w:t>
      </w:r>
    </w:p>
    <w:p>
      <w:pPr>
        <w:spacing w:after="100" w:before="0"/>
      </w:pPr>
      <w:r>
        <w:t xml:space="preserve"/>
      </w:r>
    </w:p>
    <w:p>
      <w:pPr>
        <w:pStyle w:val="Heading2"/>
        <w:spacing w:after="140" w:before="280"/>
      </w:pPr>
      <w:r>
        <w:rPr>
          <w:rFonts w:ascii="Arial" w:cs="Arial" w:eastAsia="Arial" w:hAnsi="Arial"/>
          <w:b/>
          <w:bCs/>
          <w:color w:val="0077A8"/>
          <w:sz w:val="26"/>
          <w:szCs w:val="26"/>
        </w:rPr>
        <w:t xml:space="preserve">"What does this cost, and what's the ROI?"</w:t>
      </w:r>
    </w:p>
    <w:p>
      <w:pPr>
        <w:spacing w:after="140" w:before="60"/>
        <w:jc w:val="left"/>
      </w:pPr>
      <w:r>
        <w:rPr>
          <w:rFonts w:ascii="Arial" w:cs="Arial" w:eastAsia="Arial" w:hAnsi="Arial"/>
          <w:b w:val="false"/>
          <w:bCs w:val="false"/>
          <w:i w:val="false"/>
          <w:iCs w:val="false"/>
          <w:color w:val="222222"/>
          <w:sz w:val="20"/>
          <w:szCs w:val="20"/>
        </w:rPr>
        <w:t xml:space="preserve">Rough cost model for a Nexus-scale company:</w:t>
      </w:r>
    </w:p>
    <w:p>
      <w:pPr>
        <w:pStyle w:val="ListParagraph"/>
        <w:numPr>
          <w:ilvl w:val="0"/>
          <w:numId w:val="2"/>
        </w:numPr>
        <w:spacing w:after="60" w:before="40"/>
      </w:pPr>
      <w:r>
        <w:rPr>
          <w:rFonts w:ascii="Arial" w:cs="Arial" w:eastAsia="Arial" w:hAnsi="Arial"/>
          <w:b w:val="false"/>
          <w:bCs w:val="false"/>
          <w:color w:val="222222"/>
          <w:sz w:val="20"/>
          <w:szCs w:val="20"/>
        </w:rPr>
        <w:t xml:space="preserve">AI platform and tools: $400K–$800K/year (Salesforce, Workday AI, point solutions, or custom build)</w:t>
      </w:r>
    </w:p>
    <w:p>
      <w:pPr>
        <w:pStyle w:val="ListParagraph"/>
        <w:numPr>
          <w:ilvl w:val="0"/>
          <w:numId w:val="2"/>
        </w:numPr>
        <w:spacing w:after="60" w:before="40"/>
      </w:pPr>
      <w:r>
        <w:rPr>
          <w:rFonts w:ascii="Arial" w:cs="Arial" w:eastAsia="Arial" w:hAnsi="Arial"/>
          <w:b w:val="false"/>
          <w:bCs w:val="false"/>
          <w:color w:val="222222"/>
          <w:sz w:val="20"/>
          <w:szCs w:val="20"/>
        </w:rPr>
        <w:t xml:space="preserve">Integration and implementation: $1.5M–$2.5M one-time (18-month project)</w:t>
      </w:r>
    </w:p>
    <w:p>
      <w:pPr>
        <w:pStyle w:val="ListParagraph"/>
        <w:numPr>
          <w:ilvl w:val="0"/>
          <w:numId w:val="2"/>
        </w:numPr>
        <w:spacing w:after="60" w:before="40"/>
      </w:pPr>
      <w:r>
        <w:rPr>
          <w:rFonts w:ascii="Arial" w:cs="Arial" w:eastAsia="Arial" w:hAnsi="Arial"/>
          <w:b w:val="false"/>
          <w:bCs w:val="false"/>
          <w:color w:val="222222"/>
          <w:sz w:val="20"/>
          <w:szCs w:val="20"/>
        </w:rPr>
        <w:t xml:space="preserve">AI Finance Systems Manager (new hire): $180K–$220K/year</w:t>
      </w:r>
    </w:p>
    <w:p>
      <w:pPr>
        <w:pStyle w:val="ListParagraph"/>
        <w:numPr>
          <w:ilvl w:val="0"/>
          <w:numId w:val="2"/>
        </w:numPr>
        <w:spacing w:after="60" w:before="40"/>
      </w:pPr>
      <w:r>
        <w:rPr>
          <w:rFonts w:ascii="Arial" w:cs="Arial" w:eastAsia="Arial" w:hAnsi="Arial"/>
          <w:b w:val="false"/>
          <w:bCs w:val="false"/>
          <w:color w:val="222222"/>
          <w:sz w:val="20"/>
          <w:szCs w:val="20"/>
        </w:rPr>
        <w:t xml:space="preserve">Change management and training: $200K–$400K</w:t>
      </w:r>
    </w:p>
    <w:p>
      <w:pPr>
        <w:spacing w:after="140" w:before="60"/>
        <w:jc w:val="left"/>
      </w:pPr>
      <w:r>
        <w:rPr>
          <w:rFonts w:ascii="Arial" w:cs="Arial" w:eastAsia="Arial" w:hAnsi="Arial"/>
          <w:b w:val="false"/>
          <w:bCs w:val="false"/>
          <w:i w:val="false"/>
          <w:iCs w:val="false"/>
          <w:color w:val="222222"/>
          <w:sz w:val="20"/>
          <w:szCs w:val="20"/>
        </w:rPr>
        <w:t xml:space="preserve">Expected annual savings at steady state:</w:t>
      </w:r>
    </w:p>
    <w:p>
      <w:pPr>
        <w:pStyle w:val="ListParagraph"/>
        <w:numPr>
          <w:ilvl w:val="0"/>
          <w:numId w:val="2"/>
        </w:numPr>
        <w:spacing w:after="60" w:before="40"/>
      </w:pPr>
      <w:r>
        <w:rPr>
          <w:rFonts w:ascii="Arial" w:cs="Arial" w:eastAsia="Arial" w:hAnsi="Arial"/>
          <w:b w:val="false"/>
          <w:bCs w:val="false"/>
          <w:color w:val="222222"/>
          <w:sz w:val="20"/>
          <w:szCs w:val="20"/>
        </w:rPr>
        <w:t xml:space="preserve">Finance headcount reduction (7 FTEs redeployed, not replaced when they leave): $700K–$1.1M/year</w:t>
      </w:r>
    </w:p>
    <w:p>
      <w:pPr>
        <w:pStyle w:val="ListParagraph"/>
        <w:numPr>
          <w:ilvl w:val="0"/>
          <w:numId w:val="2"/>
        </w:numPr>
        <w:spacing w:after="60" w:before="40"/>
      </w:pPr>
      <w:r>
        <w:rPr>
          <w:rFonts w:ascii="Arial" w:cs="Arial" w:eastAsia="Arial" w:hAnsi="Arial"/>
          <w:b w:val="false"/>
          <w:bCs w:val="false"/>
          <w:color w:val="222222"/>
          <w:sz w:val="20"/>
          <w:szCs w:val="20"/>
        </w:rPr>
        <w:t xml:space="preserve">Improved AP early-pay discounts: $200K–$500K/year</w:t>
      </w:r>
    </w:p>
    <w:p>
      <w:pPr>
        <w:pStyle w:val="ListParagraph"/>
        <w:numPr>
          <w:ilvl w:val="0"/>
          <w:numId w:val="2"/>
        </w:numPr>
        <w:spacing w:after="60" w:before="40"/>
      </w:pPr>
      <w:r>
        <w:rPr>
          <w:rFonts w:ascii="Arial" w:cs="Arial" w:eastAsia="Arial" w:hAnsi="Arial"/>
          <w:b w:val="false"/>
          <w:bCs w:val="false"/>
          <w:color w:val="222222"/>
          <w:sz w:val="20"/>
          <w:szCs w:val="20"/>
        </w:rPr>
        <w:t xml:space="preserve">Reduced external audit fees (better data = faster audit): $150K–$300K/year</w:t>
      </w:r>
    </w:p>
    <w:p>
      <w:pPr>
        <w:pStyle w:val="ListParagraph"/>
        <w:numPr>
          <w:ilvl w:val="0"/>
          <w:numId w:val="2"/>
        </w:numPr>
        <w:spacing w:after="60" w:before="40"/>
      </w:pPr>
      <w:r>
        <w:rPr>
          <w:rFonts w:ascii="Arial" w:cs="Arial" w:eastAsia="Arial" w:hAnsi="Arial"/>
          <w:b w:val="false"/>
          <w:bCs w:val="false"/>
          <w:color w:val="222222"/>
          <w:sz w:val="20"/>
          <w:szCs w:val="20"/>
        </w:rPr>
        <w:t xml:space="preserve">Avoided errors and restatement risk: hard to quantify, but material</w:t>
      </w:r>
    </w:p>
    <w:p>
      <w:pPr>
        <w:spacing w:after="140" w:before="60"/>
        <w:jc w:val="left"/>
      </w:pPr>
      <w:r>
        <w:rPr>
          <w:rFonts w:ascii="Arial" w:cs="Arial" w:eastAsia="Arial" w:hAnsi="Arial"/>
          <w:b w:val="false"/>
          <w:bCs w:val="false"/>
          <w:i w:val="false"/>
          <w:iCs w:val="false"/>
          <w:color w:val="222222"/>
          <w:sz w:val="20"/>
          <w:szCs w:val="20"/>
        </w:rPr>
        <w:t xml:space="preserve">Indicative payback period: 18–30 months. Ongoing ROI is strong because savings scale with the business while AI costs grow minimally.</w:t>
      </w:r>
    </w:p>
    <w:p>
      <w:pPr>
        <w:spacing w:after="100" w:before="0"/>
      </w:pPr>
      <w:r>
        <w:t xml:space="preserve"/>
      </w:r>
    </w:p>
    <w:p>
      <w:pPr>
        <w:pStyle w:val="Heading2"/>
        <w:spacing w:after="140" w:before="280"/>
      </w:pPr>
      <w:r>
        <w:rPr>
          <w:rFonts w:ascii="Arial" w:cs="Arial" w:eastAsia="Arial" w:hAnsi="Arial"/>
          <w:b/>
          <w:bCs/>
          <w:color w:val="0077A8"/>
          <w:sz w:val="26"/>
          <w:szCs w:val="26"/>
        </w:rPr>
        <w:t xml:space="preserve">"Is this really possible today, or is this still five years out?"</w:t>
      </w:r>
    </w:p>
    <w:p>
      <w:pPr>
        <w:spacing w:after="140" w:before="60"/>
        <w:jc w:val="left"/>
      </w:pPr>
      <w:r>
        <w:rPr>
          <w:rFonts w:ascii="Arial" w:cs="Arial" w:eastAsia="Arial" w:hAnsi="Arial"/>
          <w:b w:val="false"/>
          <w:bCs w:val="false"/>
          <w:i w:val="false"/>
          <w:iCs w:val="false"/>
          <w:color w:val="222222"/>
          <w:sz w:val="20"/>
          <w:szCs w:val="20"/>
        </w:rPr>
        <w:t xml:space="preserve">The technology exists today. Invoice extraction, three-way PO matching, bank reconciliation, expense report processing, payroll calculation, GL accruals, and financial statement generation are all in production at various companies right now. The gap is not technology — it is implementation will, change management, and data infrastructure. Companies that start in 2025–2026 will have a 3–5 year head start on competitors who wait for the technology to 'mature.'</w:t>
      </w:r>
    </w:p>
    <w:p>
      <w:pPr>
        <w:pStyle w:val="Heading1"/>
        <w:pageBreakBefore/>
        <w:spacing w:after="180" w:before="360"/>
      </w:pPr>
      <w:r>
        <w:rPr>
          <w:rFonts w:ascii="Arial" w:cs="Arial" w:eastAsia="Arial" w:hAnsi="Arial"/>
          <w:b/>
          <w:bCs/>
          <w:color w:val="1A3A6B"/>
          <w:sz w:val="32"/>
          <w:szCs w:val="32"/>
        </w:rPr>
        <w:t xml:space="preserve">7. Workshop: Using the Document Library</w:t>
      </w:r>
    </w:p>
    <w:p>
      <w:pPr>
        <w:spacing w:after="140" w:before="60"/>
        <w:jc w:val="left"/>
      </w:pPr>
      <w:r>
        <w:rPr>
          <w:rFonts w:ascii="Arial" w:cs="Arial" w:eastAsia="Arial" w:hAnsi="Arial"/>
          <w:b w:val="false"/>
          <w:bCs w:val="false"/>
          <w:i w:val="false"/>
          <w:iCs w:val="false"/>
          <w:color w:val="222222"/>
          <w:sz w:val="20"/>
          <w:szCs w:val="20"/>
        </w:rPr>
        <w:t xml:space="preserve">The companion document library (853 simulated documents for Nexus BioTherapeutics) is designed to make every concept in this blueprint tangible. Rather than talking abstractly about invoice ingestion, participants can actually run an AI model against a real-looking CRO invoice and watch it extract the data. Rather than describing the three-way match, participants can see it executed against a matched set of PO, invoice, and packing slip.</w:t>
      </w:r>
    </w:p>
    <w:p>
      <w:pPr>
        <w:spacing w:after="100" w:before="0"/>
      </w:pPr>
      <w:r>
        <w:t xml:space="preserve"/>
      </w:r>
    </w:p>
    <w:p>
      <w:pPr>
        <w:pStyle w:val="Heading2"/>
        <w:spacing w:after="140" w:before="280"/>
      </w:pPr>
      <w:r>
        <w:rPr>
          <w:rFonts w:ascii="Arial" w:cs="Arial" w:eastAsia="Arial" w:hAnsi="Arial"/>
          <w:b/>
          <w:bCs/>
          <w:color w:val="0077A8"/>
          <w:sz w:val="26"/>
          <w:szCs w:val="26"/>
        </w:rPr>
        <w:t xml:space="preserve">7.1 Suggested Workshop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400"/>
        <w:gridCol w:w="2360"/>
      </w:tblGrid>
      <w:tr>
        <w:trPr>
          <w:tblHeader/>
        </w:trPr>
        <w:tc>
          <w:tcPr>
            <w:tcW w:type="dxa" w:w="1600"/>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Exercise</w:t>
            </w:r>
          </w:p>
        </w:tc>
        <w:tc>
          <w:tcPr>
            <w:tcW w:type="dxa" w:w="3000"/>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Document(s) Used</w:t>
            </w:r>
          </w:p>
        </w:tc>
        <w:tc>
          <w:tcPr>
            <w:tcW w:type="dxa" w:w="2400"/>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AI Task Demonstrated</w:t>
            </w:r>
          </w:p>
        </w:tc>
        <w:tc>
          <w:tcPr>
            <w:tcW w:type="dxa" w:w="2360"/>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vAlign w:val="top"/>
          </w:tcPr>
          <w:p>
            <w:pPr>
              <w:spacing w:after="60" w:before="60"/>
              <w:jc w:val="left"/>
            </w:pPr>
            <w:r>
              <w:rPr>
                <w:rFonts w:ascii="Arial" w:cs="Arial" w:eastAsia="Arial" w:hAnsi="Arial"/>
                <w:b/>
                <w:bCs/>
                <w:color w:val="FFFFFF"/>
                <w:sz w:val="18"/>
                <w:szCs w:val="18"/>
              </w:rPr>
              <w:t xml:space="preserve">Discussion Question</w:t>
            </w:r>
          </w:p>
        </w:tc>
      </w:tr>
      <w:tr>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222222"/>
                <w:sz w:val="18"/>
                <w:szCs w:val="18"/>
              </w:rPr>
              <w:t xml:space="preserve">AP Ingestion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iCs/>
                <w:color w:val="222222"/>
                <w:sz w:val="18"/>
                <w:szCs w:val="18"/>
              </w:rPr>
              <w:t xml:space="preserve">V020 vendor invoice (Thermo Fisher, JPEG scan) + V001 CRO invoice (PPD, PDF)</w:t>
            </w:r>
          </w:p>
        </w:tc>
        <w:tc>
          <w:tcPr>
            <w:tcW w:type="dxa" w:w="2400"/>
            <w:tcBorders>
              <w:top w:val="single" w:color="CCCCCC" w:sz="1"/>
              <w:left w:val="single" w:color="CCCCCC" w:sz="1"/>
              <w:bottom w:val="single" w:color="CCCCCC" w:sz="1"/>
              <w:right w:val="single" w:color="CCCCCC" w:sz="1"/>
            </w:tcBorders>
            <w:shd w:fill="E3F0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Extract vendor, date, line items, amounts, GL code from two very different formats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What is your current SLA from invoice receipt to ERP entry? What would 2-hour SLA change?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222222"/>
                <w:sz w:val="18"/>
                <w:szCs w:val="18"/>
              </w:rPr>
              <w:t xml:space="preserve">Three-Way Match</w:t>
            </w:r>
          </w:p>
        </w:tc>
        <w:tc>
          <w:tcPr>
            <w:tcW w:type="dxa" w:w="3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iCs/>
                <w:color w:val="222222"/>
                <w:sz w:val="18"/>
                <w:szCs w:val="18"/>
              </w:rPr>
              <w:t xml:space="preserve">Purchase order PO-20xxx + corresponding invoice + PKG receiving report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Match three documents; identify discrepancy in quantity or price</w:t>
            </w:r>
          </w:p>
        </w:tc>
        <w:tc>
          <w:tcPr>
            <w:tcW w:type="dxa" w:w="2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What percentage of your invoices have discrepancies? Who resolves them today?</w:t>
            </w:r>
          </w:p>
        </w:tc>
      </w:tr>
      <w:tr>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222222"/>
                <w:sz w:val="18"/>
                <w:szCs w:val="18"/>
              </w:rPr>
              <w:t xml:space="preserve">T&amp;E Policy Check</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iCs/>
                <w:color w:val="222222"/>
                <w:sz w:val="18"/>
                <w:szCs w:val="18"/>
              </w:rPr>
              <w:t xml:space="preserve">HOTEL receipt + REST restaurant receipt + EXPRPT expense report</w:t>
            </w:r>
          </w:p>
        </w:tc>
        <w:tc>
          <w:tcPr>
            <w:tcW w:type="dxa" w:w="2400"/>
            <w:tcBorders>
              <w:top w:val="single" w:color="CCCCCC" w:sz="1"/>
              <w:left w:val="single" w:color="CCCCCC" w:sz="1"/>
              <w:bottom w:val="single" w:color="CCCCCC" w:sz="1"/>
              <w:right w:val="single" w:color="CCCCCC" w:sz="1"/>
            </w:tcBorders>
            <w:shd w:fill="E3F0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Extract and classify; check against policy rules; flag business purpose missing</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What is your current T&amp;E policy violation rate? How is it discovered?</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222222"/>
                <w:sz w:val="18"/>
                <w:szCs w:val="18"/>
              </w:rPr>
              <w:t xml:space="preserve">CRO Accrual</w:t>
            </w:r>
          </w:p>
        </w:tc>
        <w:tc>
          <w:tcPr>
            <w:tcW w:type="dxa" w:w="3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iCs/>
                <w:color w:val="222222"/>
                <w:sz w:val="18"/>
                <w:szCs w:val="18"/>
              </w:rPr>
              <w:t xml:space="preserve">CRO_NXTB-301-001 invoice series (12 months) + trial budget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Compare actual invoicing to budget; calculate accrual needed at period end</w:t>
            </w:r>
          </w:p>
        </w:tc>
        <w:tc>
          <w:tcPr>
            <w:tcW w:type="dxa" w:w="2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How do you currently estimate your CRO accruals? How confident are you in those numbers?</w:t>
            </w:r>
          </w:p>
        </w:tc>
      </w:tr>
      <w:tr>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222222"/>
                <w:sz w:val="18"/>
                <w:szCs w:val="18"/>
              </w:rPr>
              <w:t xml:space="preserve">Close Simulation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iCs/>
                <w:color w:val="222222"/>
                <w:sz w:val="18"/>
                <w:szCs w:val="18"/>
              </w:rPr>
              <w:t xml:space="preserve">GL_Detail report + JE journal entries + TrialBalance</w:t>
            </w:r>
          </w:p>
        </w:tc>
        <w:tc>
          <w:tcPr>
            <w:tcW w:type="dxa" w:w="2400"/>
            <w:tcBorders>
              <w:top w:val="single" w:color="CCCCCC" w:sz="1"/>
              <w:left w:val="single" w:color="CCCCCC" w:sz="1"/>
              <w:bottom w:val="single" w:color="CCCCCC" w:sz="1"/>
              <w:right w:val="single" w:color="CCCCCC" w:sz="1"/>
            </w:tcBorders>
            <w:shd w:fill="E3F0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Identify unreconciled items; propose adjusting entries; calculate close completeness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What does your close look like today? What would 3-day close change for your business?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bCs/>
                <w:i w:val="false"/>
                <w:iCs w:val="false"/>
                <w:color w:val="222222"/>
                <w:sz w:val="18"/>
                <w:szCs w:val="18"/>
              </w:rPr>
              <w:t xml:space="preserve">CFO Dashboard</w:t>
            </w:r>
          </w:p>
        </w:tc>
        <w:tc>
          <w:tcPr>
            <w:tcW w:type="dxa" w:w="3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iCs/>
                <w:color w:val="222222"/>
                <w:sz w:val="18"/>
                <w:szCs w:val="18"/>
              </w:rPr>
              <w:t xml:space="preserve">PL statements + CashFlow + BvA budget vs. actual (all 12 months)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Generate variance narrative; calculate KPIs; identify key risks from data</w:t>
            </w:r>
          </w:p>
        </w:tc>
        <w:tc>
          <w:tcPr>
            <w:tcW w:type="dxa" w:w="2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vAlign w:val="top"/>
          </w:tcPr>
          <w:p>
            <w:pPr>
              <w:spacing w:after="40" w:before="40"/>
            </w:pPr>
            <w:r>
              <w:rPr>
                <w:rFonts w:ascii="Arial" w:cs="Arial" w:eastAsia="Arial" w:hAnsi="Arial"/>
                <w:b w:val="false"/>
                <w:bCs w:val="false"/>
                <w:i w:val="false"/>
                <w:iCs w:val="false"/>
                <w:color w:val="222222"/>
                <w:sz w:val="18"/>
                <w:szCs w:val="18"/>
              </w:rPr>
              <w:t xml:space="preserve">What information do you wish you had in real time that you currently get monthly?</w:t>
            </w:r>
          </w:p>
        </w:tc>
      </w:tr>
    </w:tbl>
    <w:p>
      <w:pPr>
        <w:pStyle w:val="Heading1"/>
        <w:pageBreakBefore/>
        <w:spacing w:after="180" w:before="360"/>
      </w:pPr>
      <w:r>
        <w:rPr>
          <w:rFonts w:ascii="Arial" w:cs="Arial" w:eastAsia="Arial" w:hAnsi="Arial"/>
          <w:b/>
          <w:bCs/>
          <w:color w:val="1A3A6B"/>
          <w:sz w:val="32"/>
          <w:szCs w:val="32"/>
        </w:rPr>
        <w:t xml:space="preserve">8. The Honest Summary</w:t>
      </w:r>
    </w:p>
    <w:p>
      <w:pPr>
        <w:spacing w:after="140" w:before="60"/>
        <w:jc w:val="left"/>
      </w:pPr>
      <w:r>
        <w:rPr>
          <w:rFonts w:ascii="Arial" w:cs="Arial" w:eastAsia="Arial" w:hAnsi="Arial"/>
          <w:b w:val="false"/>
          <w:bCs w:val="false"/>
          <w:i w:val="false"/>
          <w:iCs w:val="false"/>
          <w:color w:val="222222"/>
          <w:sz w:val="20"/>
          <w:szCs w:val="20"/>
        </w:rPr>
        <w:t xml:space="preserve">AI-first finance is not a technology project. It is a rethinking of what the finance function is for. The finance function's traditional job was information production — gathering data from scattered sources, processing it through a series of rules, and producing reports. That job is going away. AI will do it better, faster, and cheaper.</w:t>
      </w:r>
    </w:p>
    <w:p>
      <w:pPr>
        <w:spacing w:after="140" w:before="60"/>
        <w:jc w:val="left"/>
      </w:pPr>
      <w:r>
        <w:rPr>
          <w:rFonts w:ascii="Arial" w:cs="Arial" w:eastAsia="Arial" w:hAnsi="Arial"/>
          <w:b w:val="false"/>
          <w:bCs w:val="false"/>
          <w:i w:val="false"/>
          <w:iCs w:val="false"/>
          <w:color w:val="222222"/>
          <w:sz w:val="20"/>
          <w:szCs w:val="20"/>
        </w:rPr>
        <w:t xml:space="preserve">The finance function's new job is information judgment — deciding what the data means, what decisions it should drive, and what risks it reveals. That job requires humans who understand the business, the industry, and the strategy. It is a more valuable job than the one it replaces.</w:t>
      </w:r>
    </w:p>
    <w:p>
      <w:pPr>
        <w:spacing w:after="140" w:before="60"/>
        <w:jc w:val="left"/>
      </w:pPr>
      <w:r>
        <w:rPr>
          <w:rFonts w:ascii="Arial" w:cs="Arial" w:eastAsia="Arial" w:hAnsi="Arial"/>
          <w:b w:val="false"/>
          <w:bCs w:val="false"/>
          <w:i w:val="false"/>
          <w:iCs w:val="false"/>
          <w:color w:val="222222"/>
          <w:sz w:val="20"/>
          <w:szCs w:val="20"/>
        </w:rPr>
        <w:t xml:space="preserve">The window to make this transition deliberately — on your timeline, with your team, with your auditors and board prepared — is open now. Companies that wait until the technology forces the change will do it reactively and expensively. Companies that start now will build competitive advantage and institutional knowledge that compounds over time.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6B" w:val="clear"/>
            <w:tcMar>
              <w:top w:type="dxa" w:w="200"/>
              <w:left w:type="dxa" w:w="400"/>
              <w:bottom w:type="dxa" w:w="200"/>
              <w:right w:type="dxa" w:w="400"/>
            </w:tcMar>
          </w:tcPr>
          <w:p>
            <w:pPr>
              <w:spacing w:after="80" w:before="120"/>
              <w:jc w:val="center"/>
            </w:pPr>
            <w:r>
              <w:rPr>
                <w:rFonts w:ascii="Arial" w:cs="Arial" w:eastAsia="Arial" w:hAnsi="Arial"/>
                <w:b/>
                <w:bCs/>
                <w:i/>
                <w:iCs/>
                <w:color w:val="FFFFFF"/>
                <w:sz w:val="22"/>
                <w:szCs w:val="22"/>
              </w:rPr>
              <w:t xml:space="preserve">"The best time to redesign your finance function was five years ago.</w:t>
            </w:r>
          </w:p>
          <w:p>
            <w:pPr>
              <w:spacing w:after="120" w:before="0"/>
              <w:jc w:val="center"/>
            </w:pPr>
            <w:r>
              <w:rPr>
                <w:rFonts w:ascii="Arial" w:cs="Arial" w:eastAsia="Arial" w:hAnsi="Arial"/>
                <w:b/>
                <w:bCs/>
                <w:i/>
                <w:iCs/>
                <w:color w:val="FFFFFF"/>
                <w:sz w:val="22"/>
                <w:szCs w:val="22"/>
              </w:rPr>
              <w:t xml:space="preserve">The second-best time is now."</w:t>
            </w:r>
          </w:p>
        </w:tc>
      </w:tr>
    </w:tbl>
    <w:p>
      <w:pPr>
        <w:spacing w:after="100" w:before="0"/>
      </w:pPr>
      <w:r>
        <w:t xml:space="preserve"/>
      </w:r>
    </w:p>
    <w:p>
      <w:pPr>
        <w:spacing w:after="100" w:before="0"/>
      </w:pPr>
      <w:r>
        <w:t xml:space="preserve"/>
      </w:r>
    </w:p>
    <w:p>
      <w:pPr>
        <w:spacing w:after="140" w:before="60"/>
        <w:jc w:val="left"/>
      </w:pPr>
      <w:r>
        <w:rPr>
          <w:rFonts w:ascii="Arial" w:cs="Arial" w:eastAsia="Arial" w:hAnsi="Arial"/>
          <w:b w:val="false"/>
          <w:bCs w:val="false"/>
          <w:i/>
          <w:iCs/>
          <w:color w:val="555555"/>
          <w:sz w:val="20"/>
          <w:szCs w:val="20"/>
        </w:rPr>
        <w:t xml:space="preserve">— QHP Capital | AI Finance Workshop | March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6ED" w:sz="4" w:space="1"/>
      </w:pBdr>
      <w:tabs>
        <w:tab w:val="right" w:pos="9360"/>
      </w:tabs>
      <w:spacing w:after="0" w:before="120"/>
    </w:pPr>
    <w:r>
      <w:rPr>
        <w:rFonts w:ascii="Arial" w:cs="Arial" w:eastAsia="Arial" w:hAnsi="Arial"/>
        <w:color w:val="555555"/>
        <w:sz w:val="16"/>
        <w:szCs w:val="16"/>
      </w:rPr>
      <w:t xml:space="preserve">QHP Capital  |  AI Finance Workshop</w:t>
    </w:r>
    <w:r>
      <w:rPr>
        <w:rFonts w:ascii="Arial" w:cs="Arial" w:eastAsia="Arial" w:hAnsi="Arial"/>
        <w:sz w:val="16"/>
        <w:szCs w:val="16"/>
      </w:rPr>
      <w:t xml:space="preserve">	</w:t>
    </w: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6ED" w:sz="4" w:space="1"/>
      </w:pBdr>
      <w:tabs>
        <w:tab w:val="right" w:pos="9360"/>
      </w:tabs>
      <w:spacing w:after="120" w:before="0"/>
    </w:pPr>
    <w:r>
      <w:rPr>
        <w:rFonts w:ascii="Arial" w:cs="Arial" w:eastAsia="Arial" w:hAnsi="Arial"/>
        <w:color w:val="555555"/>
        <w:sz w:val="16"/>
        <w:szCs w:val="16"/>
      </w:rPr>
      <w:t xml:space="preserve">AI-First Finance Transformation Blueprint  |  Nexus BioTherapeutics (Reference)</w:t>
    </w:r>
    <w:r>
      <w:rPr>
        <w:rFonts w:ascii="Arial" w:cs="Arial" w:eastAsia="Arial" w:hAnsi="Arial"/>
        <w:sz w:val="16"/>
        <w:szCs w:val="16"/>
      </w:rPr>
      <w:t xml:space="preserve">	</w:t>
    </w:r>
    <w:r>
      <w:rPr>
        <w:rFonts w:ascii="Arial" w:cs="Arial" w:eastAsia="Arial" w:hAnsi="Arial"/>
        <w:b/>
        <w:bCs/>
        <w:color w:val="0077A8"/>
        <w:sz w:val="16"/>
        <w:szCs w:val="16"/>
      </w:rPr>
      <w:t xml:space="preserve">CONFIDENTIAL — WORKSHOP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Arial" w:cs="Arial" w:eastAsia="Arial" w:hAnsi="Arial"/>
        <w:sz w:val="20"/>
        <w:szCs w:val="20"/>
      </w:rPr>
    </w:lvl>
    <w:lvl w:ilvl="1" w15:tentative="1">
      <w:start w:val="1"/>
      <w:numFmt w:val="bullet"/>
      <w:lvlText w:val="◦"/>
      <w:lvlJc w:val="left"/>
      <w:pPr>
        <w:ind w:left="900" w:hanging="260"/>
      </w:pPr>
      <w:rPr>
        <w:rFonts w:ascii="Arial" w:cs="Arial" w:eastAsia="Arial" w:hAnsi="Arial"/>
        <w:sz w:val="18"/>
        <w:szCs w:val="18"/>
      </w:rPr>
    </w:lvl>
  </w:abstractNum>
  <w:abstractNum w:abstractNumId="3" w15:restartNumberingAfterBreak="0">
    <w:multiLevelType w:val="hybridMultilevel"/>
    <w:lvl w:ilvl="0" w15:tentative="1">
      <w:start w:val="1"/>
      <w:numFmt w:val="decimal"/>
      <w:lvlText w:val="%1."/>
      <w:lvlJc w:val="left"/>
      <w:pPr>
        <w:ind w:left="540" w:hanging="260"/>
      </w:pPr>
      <w:rPr>
        <w:rFonts w:ascii="Arial" w:cs="Arial" w:eastAsia="Arial" w:hAnsi="Arial"/>
        <w:b/>
        <w:bCs/>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A6B"/>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0077A8"/>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2026-03-09T11:16:02.542Z</dcterms:created>
  <dcterms:modified xsi:type="dcterms:W3CDTF">2026-03-09T11:16:02.543Z</dcterms:modified>
</cp:coreProperties>
</file>

<file path=docProps/custom.xml><?xml version="1.0" encoding="utf-8"?>
<Properties xmlns="http://schemas.openxmlformats.org/officeDocument/2006/custom-properties" xmlns:vt="http://schemas.openxmlformats.org/officeDocument/2006/docPropsVTypes"/>
</file>