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Workflow Monitor — Descripción comercial</w:t>
      </w:r>
    </w:p>
    <w:p>
      <w:r>
        <w:t xml:space="preserve">Versión 1.1.3. Aplicación Windows on-premises para monitorear procesos backend y SQL Server mediante dashboard web, API REST y Worker Service.</w:t>
      </w:r>
    </w:p>
    <w:p>
      <w:pPr>
        <w:pStyle w:val="Heading1"/>
      </w:pPr>
      <w:r>
        <w:t xml:space="preserve">Planes y precios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0B0B0"/>
          <w:insideV w:val="single" w:sz="4" w:color="B0B0B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Plan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Precio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Procesos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Workers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1800" w:type="dxa"/>
          </w:tcPr>
          <w:p>
            <w:r>
              <w:t xml:space="preserve">Demo</w:t>
            </w:r>
          </w:p>
        </w:tc>
        <w:tc>
          <w:tcPr>
            <w:tcW w:w="1800" w:type="dxa"/>
          </w:tcPr>
          <w:p>
            <w:r>
              <w:t xml:space="preserve">USD 0</w:t>
            </w:r>
          </w:p>
        </w:tc>
        <w:tc>
          <w:tcPr>
            <w:tcW w:w="1800" w:type="dxa"/>
          </w:tcPr>
          <w:p>
            <w:r>
              <w:t xml:space="preserve">Hasta 3</w:t>
            </w:r>
          </w:p>
        </w:tc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30 días</w:t>
            </w:r>
          </w:p>
        </w:tc>
      </w:tr>
      <w:tr>
        <w:tc>
          <w:tcPr>
            <w:tcW w:w="1800" w:type="dxa"/>
          </w:tcPr>
          <w:p>
            <w:r>
              <w:t xml:space="preserve">Professional</w:t>
            </w:r>
          </w:p>
        </w:tc>
        <w:tc>
          <w:tcPr>
            <w:tcW w:w="1800" w:type="dxa"/>
          </w:tcPr>
          <w:p>
            <w:r>
              <w:t xml:space="preserve">USD 15/mes | USD 149/año</w:t>
            </w:r>
          </w:p>
        </w:tc>
        <w:tc>
          <w:tcPr>
            <w:tcW w:w="1800" w:type="dxa"/>
          </w:tcPr>
          <w:p>
            <w:r>
              <w:t xml:space="preserve">Hasta 25</w:t>
            </w:r>
          </w:p>
        </w:tc>
        <w:tc>
          <w:tcPr>
            <w:tcW w:w="1800" w:type="dxa"/>
          </w:tcPr>
          <w:p>
            <w:r>
              <w:t xml:space="preserve">Hasta 5</w:t>
            </w:r>
          </w:p>
        </w:tc>
        <w:tc>
          <w:tcPr>
            <w:tcW w:w="1800" w:type="dxa"/>
          </w:tcPr>
          <w:p>
            <w:r>
              <w:t xml:space="preserve">1 instalación</w:t>
            </w:r>
          </w:p>
        </w:tc>
      </w:tr>
      <w:tr>
        <w:tc>
          <w:tcPr>
            <w:tcW w:w="1800" w:type="dxa"/>
          </w:tcPr>
          <w:p>
            <w:r>
              <w:t xml:space="preserve">Enterprise</w:t>
            </w:r>
          </w:p>
        </w:tc>
        <w:tc>
          <w:tcPr>
            <w:tcW w:w="1800" w:type="dxa"/>
          </w:tcPr>
          <w:p>
            <w:r>
              <w:t xml:space="preserve">USD 39/mes | USD 399/año</w:t>
            </w:r>
          </w:p>
        </w:tc>
        <w:tc>
          <w:tcPr>
            <w:tcW w:w="1800" w:type="dxa"/>
          </w:tcPr>
          <w:p>
            <w:r>
              <w:t xml:space="preserve">Hasta 100</w:t>
            </w:r>
          </w:p>
        </w:tc>
        <w:tc>
          <w:tcPr>
            <w:tcW w:w="1800" w:type="dxa"/>
          </w:tcPr>
          <w:p>
            <w:r>
              <w:t xml:space="preserve">Hasta 20</w:t>
            </w:r>
          </w:p>
        </w:tc>
        <w:tc>
          <w:tcPr>
            <w:tcW w:w="1800" w:type="dxa"/>
          </w:tcPr>
          <w:p>
            <w:r>
              <w:t xml:space="preserve">1 instalación</w:t>
            </w:r>
          </w:p>
        </w:tc>
      </w:tr>
      <w:tr>
        <w:tc>
          <w:tcPr>
            <w:tcW w:w="1800" w:type="dxa"/>
          </w:tcPr>
          <w:p>
            <w:r>
              <w:t xml:space="preserve">Enterprise Custom</w:t>
            </w:r>
          </w:p>
        </w:tc>
        <w:tc>
          <w:tcPr>
            <w:tcW w:w="1800" w:type="dxa"/>
          </w:tcPr>
          <w:p>
            <w:r>
              <w:t xml:space="preserve">A cotizar</w:t>
            </w:r>
          </w:p>
        </w:tc>
        <w:tc>
          <w:tcPr>
            <w:tcW w:w="1800" w:type="dxa"/>
          </w:tcPr>
          <w:p>
            <w:r>
              <w:t xml:space="preserve">&gt;100</w:t>
            </w:r>
          </w:p>
        </w:tc>
        <w:tc>
          <w:tcPr>
            <w:tcW w:w="1800" w:type="dxa"/>
          </w:tcPr>
          <w:p>
            <w:r>
              <w:t xml:space="preserve">&gt;20</w:t>
            </w:r>
          </w:p>
        </w:tc>
        <w:tc>
          <w:tcPr>
            <w:tcW w:w="1800" w:type="dxa"/>
          </w:tcPr>
          <w:p>
            <w:r>
              <w:t xml:space="preserve">Custom</w:t>
            </w:r>
          </w:p>
        </w:tc>
      </w:tr>
    </w:tbl>
    <w:p>
      <w:pPr>
        <w:pStyle w:val="Heading1"/>
      </w:pPr>
      <w:r>
        <w:t xml:space="preserve">Qué incluye</w:t>
      </w:r>
    </w:p>
    <w:p>
      <w:r>
        <w:t xml:space="preserve">• Dashboard MVC autenticado y API REST.</w:t>
      </w:r>
    </w:p>
    <w:p>
      <w:r>
        <w:t xml:space="preserve">• Historial, estados, duración, métricas, errores y detección de ejecuciones demoradas.</w:t>
      </w:r>
    </w:p>
    <w:p>
      <w:r>
        <w:t xml:space="preserve">• Worker Service, integración SQL Server y exportación CSV.</w:t>
      </w:r>
    </w:p>
    <w:p>
      <w:r>
        <w:t xml:space="preserve">• API keys, autenticación de administrador y validación offline de licencias firmadas.</w:t>
      </w:r>
    </w:p>
    <w:p>
      <w:r>
        <w:t xml:space="preserve">• Interfaz en español e inglés.</w:t>
      </w:r>
    </w:p>
    <w:p>
      <w:pPr>
        <w:pStyle w:val="Heading1"/>
      </w:pPr>
      <w:r>
        <w:t xml:space="preserve">Facturación</w:t>
      </w:r>
    </w:p>
    <w:p>
      <w:r>
        <w:t xml:space="preserve">• El cliente puede elegir pago mensual o anual.</w:t>
      </w:r>
    </w:p>
    <w:p>
      <w:r>
        <w:t xml:space="preserve">• El pago anual tiene descuento frente a doce pagos mensuales.</w:t>
      </w:r>
    </w:p>
    <w:p>
      <w:r>
        <w:t xml:space="preserve">• Professional y Enterprise usan el mismo núcleo funcional; la diferencia es la capacidad licenciada.</w:t>
      </w:r>
    </w:p>
    <w:p>
      <w:pPr>
        <w:pStyle w:val="Heading1"/>
      </w:pPr>
      <w:r>
        <w:t xml:space="preserve">Licencia</w:t>
      </w:r>
    </w:p>
    <w:p>
      <w:r>
        <w:t xml:space="preserve">• Cada licencia comercial corresponde a una instalación específica.</w:t>
      </w:r>
    </w:p>
    <w:p>
      <w:r>
        <w:t xml:space="preserve">• La licencia define edición, vencimiento, máximo de procesos y máximo de Workers/integraciones.</w:t>
      </w:r>
    </w:p>
    <w:p>
      <w:r>
        <w:t xml:space="preserve">• Mensual y anual usan el mismo ejecutable; cambia el período de vencimiento.</w:t>
      </w:r>
    </w:p>
    <w:p>
      <w:pPr>
        <w:pStyle w:val="Heading1"/>
      </w:pPr>
      <w:r>
        <w:t xml:space="preserve">Compra</w:t>
      </w:r>
    </w:p>
    <w:p>
      <w:r>
        <w:t xml:space="preserve">• La integración de cobro mensual/anual se realizará mediante Mercado Pago y se validará primero en Mercado Pago Developer.</w:t>
      </w:r>
    </w:p>
    <w:p>
      <w:r>
        <w:t xml:space="preserve">• Contacto: contacto@federicostimpfl.com.ar</w:t>
      </w:r>
    </w:p>
    <w:sectPr>
      <w:pgSz w:w="11906" w:h="16838"/>
      <w:pgMar w:top="1000" w:right="900" w:bottom="1000" w:left="90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  <w:szCs w:val="20"/>
    </w:rPr>
  </w:style>
  <w:style w:type="paragraph" w:styleId="Title">
    <w:name w:val="Title"/>
    <w:basedOn w:val="Normal"/>
    <w:pPr>
      <w:jc w:val="center"/>
      <w:spacing w:after="240"/>
    </w:pPr>
    <w:rPr>
      <w:b/>
      <w:rFonts w:ascii="Arial" w:hAnsi="Arial"/>
      <w:sz w:val="36"/>
      <w:szCs w:val="36"/>
    </w:rPr>
  </w:style>
  <w:style w:type="paragraph" w:styleId="Heading1">
    <w:name w:val="heading 1"/>
    <w:basedOn w:val="Normal"/>
    <w:pPr>
      <w:spacing w:before="240" w:after="100"/>
    </w:pPr>
    <w:rPr>
      <w:b/>
      <w:color w:val="2F5597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