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monitor-m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b/>
          <w:sz w:val="20"/>
        </w:rPr>
        <w:t>WORKFLOW MONITOR</w:t>
      </w:r>
    </w:p>
    <w:p>
      <w:pPr>
        <w:pStyle w:val="Title"/>
        <w:jc w:val="center"/>
      </w:pPr>
      <w:r>
        <w:t>Descripción comercial</w:t>
      </w:r>
    </w:p>
    <w:p>
      <w:pPr>
        <w:jc w:val="center"/>
      </w:pPr>
      <w:r>
        <w:rPr>
          <w:i/>
          <w:sz w:val="20"/>
        </w:rPr>
        <w:t>Versión 1.1.3</w:t>
      </w:r>
    </w:p>
    <w:p/>
    <w:p>
      <w:pPr>
        <w:jc w:val="both"/>
      </w:pPr>
      <w:r>
        <w:t>Workflow Monitor es una solución local para monitorear ejecuciones de procesos backend, Workers, importaciones, jobs batch y otros flujos respaldados por SQL Server. Proporciona dashboard web, API REST, historial de ejecuciones, métricas, filtros, exportación CSV y validación de licencias firmadas sin conexión a Internet.</w:t>
      </w:r>
    </w:p>
    <w:p>
      <w:pPr>
        <w:pStyle w:val="Heading1"/>
      </w:pPr>
      <w:r>
        <w:t>Ediciones y precios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Edición</w:t>
            </w:r>
          </w:p>
        </w:tc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Mensual</w:t>
            </w:r>
          </w:p>
        </w:tc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Trimestral</w:t>
            </w:r>
          </w:p>
        </w:tc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Semestral</w:t>
            </w:r>
          </w:p>
        </w:tc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Anual</w:t>
            </w:r>
          </w:p>
        </w:tc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Procesos</w:t>
            </w:r>
          </w:p>
        </w:tc>
        <w:tc>
          <w:tcPr>
            <w:tcW w:type="dxa" w:w="1440"/>
            <w:shd w:fill="D9EAF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Workers / integraciones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Demo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Gratis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Hasta 3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Professional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15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42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81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149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Hasta 25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Hasta 5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Enterprise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39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111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210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USD 399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Hasta 100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Hasta 20</w:t>
            </w:r>
          </w:p>
        </w:tc>
      </w:tr>
      <w:tr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Enterprise Custom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A cotizar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A cotizar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A cotizar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A cotizar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Más de 100</w:t>
            </w:r>
          </w:p>
        </w:tc>
        <w:tc>
          <w:tcPr>
            <w:tcW w:type="dxa" w:w="14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Más de 20</w:t>
            </w:r>
          </w:p>
        </w:tc>
      </w:tr>
    </w:tbl>
    <w:p/>
    <w:p>
      <w:r>
        <w:t>Los períodos más largos incluyen descuento respecto de pagar períodos mensuales equivalentes. Cada licencia paga corresponde a una instalación y período de facturación específicos.</w:t>
      </w:r>
    </w:p>
    <w:p>
      <w:pPr>
        <w:pStyle w:val="Heading1"/>
      </w:pPr>
      <w:r>
        <w:t>Capacidades principales</w:t>
      </w:r>
    </w:p>
    <w:p>
      <w:pPr>
        <w:pStyle w:val="ListBullet"/>
      </w:pPr>
      <w:r>
        <w:t>Dashboard web autenticado y API REST.</w:t>
      </w:r>
    </w:p>
    <w:p>
      <w:pPr>
        <w:pStyle w:val="ListBullet"/>
      </w:pPr>
      <w:r>
        <w:t>Historial y detalle de ejecuciones.</w:t>
      </w:r>
    </w:p>
    <w:p>
      <w:pPr>
        <w:pStyle w:val="ListBullet"/>
      </w:pPr>
      <w:r>
        <w:t>Estados Running, Succeeded, Failed y Cancelled.</w:t>
      </w:r>
    </w:p>
    <w:p>
      <w:pPr>
        <w:pStyle w:val="ListBullet"/>
      </w:pPr>
      <w:r>
        <w:t>Métricas de procesamiento y detección de ejecuciones demoradas.</w:t>
      </w:r>
    </w:p>
    <w:p>
      <w:pPr>
        <w:pStyle w:val="ListBullet"/>
      </w:pPr>
      <w:r>
        <w:t>Filtros, ordenamiento, paginación y exportación CSV.</w:t>
      </w:r>
    </w:p>
    <w:p>
      <w:pPr>
        <w:pStyle w:val="ListBullet"/>
      </w:pPr>
      <w:r>
        <w:t>Worker Service e integración con SQL Server.</w:t>
      </w:r>
    </w:p>
    <w:p>
      <w:pPr>
        <w:pStyle w:val="ListBullet"/>
      </w:pPr>
      <w:r>
        <w:t>Autenticación por API key para Workers e integraciones.</w:t>
      </w:r>
    </w:p>
    <w:p>
      <w:pPr>
        <w:pStyle w:val="ListBullet"/>
      </w:pPr>
      <w:r>
        <w:t>Interfaz en español e inglés.</w:t>
      </w:r>
    </w:p>
    <w:p>
      <w:pPr>
        <w:pStyle w:val="ListBullet"/>
      </w:pPr>
      <w:r>
        <w:t>Validación offline de licencias firmadas.</w:t>
      </w:r>
    </w:p>
    <w:p>
      <w:pPr>
        <w:pStyle w:val="Heading1"/>
      </w:pPr>
      <w:r>
        <w:t>Demo</w:t>
      </w:r>
    </w:p>
    <w:p>
      <w:r>
        <w:t>La Demo permite una evaluación técnica durante 30 días, con hasta 3 procesos registrados y 1 Worker/integración. El dashboard, la API REST, el procesamiento real y la exportación CSV están habilitados. Al vencer el período de evaluación, la información existente permanece disponible en modo de solo lectura.</w:t>
      </w:r>
    </w:p>
    <w:p>
      <w:pPr>
        <w:pStyle w:val="Heading1"/>
      </w:pPr>
      <w:r>
        <w:t>Compra, pago y activación</w:t>
      </w:r>
    </w:p>
    <w:p>
      <w:r>
        <w:t>El flujo de suscripción y pago online mediante Mercado Pago fue validado de punta a punta. Cuando el pago se confirma, la contratación queda registrada como Active en el sistema comercial. A partir de ese estado se emite la licencia firmada correspondiente al plan, período e Installation ID informados.</w:t>
      </w:r>
    </w:p>
    <w:p>
      <w:r>
        <w:t>El código comercial privado, las credenciales, las herramientas de generación de licencias, el material de firma y las licencias emitidas no se distribuyen en el repositorio público.</w:t>
      </w:r>
    </w:p>
    <w:p>
      <w:pPr>
        <w:pStyle w:val="Heading1"/>
      </w:pPr>
      <w:r>
        <w:t>Licenciamiento</w:t>
      </w:r>
    </w:p>
    <w:p>
      <w:r>
        <w:t>Professional y Enterprise utilizan el mismo núcleo del producto y se diferencian por los límites licenciados. La licencia está firmada, vinculada a una instalación y contiene la fecha de vencimiento y los límites de procesos y Workers/integraciones. La validación se realiza localmente, sin requerir conexión permanente a Internet.</w:t>
      </w:r>
    </w:p>
    <w:p>
      <w:pPr>
        <w:pStyle w:val="Heading1"/>
      </w:pPr>
      <w:r>
        <w:t>Contacto comercial</w:t>
      </w:r>
    </w:p>
    <w:p>
      <w:r>
        <w:t>contacto@federicostimpfl.com.ar</w:t>
      </w:r>
    </w:p>
    <w:p>
      <w:r>
        <w:t>https://www.federicostimpfl.com.ar</w:t>
      </w:r>
    </w:p>
    <w:p>
      <w:pPr>
        <w:jc w:val="center"/>
      </w:pPr>
      <w:r>
        <w:rPr>
          <w:b/>
          <w:sz w:val="18"/>
        </w:rPr>
        <w:t>Workflow Monitor 1.1.3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