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02920" cy="502920"/>
            <wp:docPr id="1" name="Picture 1"/>
            <wp:cNvGraphicFramePr>
              <a:graphicFrameLocks noChangeAspect="1"/>
            </wp:cNvGraphicFramePr>
            <a:graphic>
              <a:graphicData uri="http://schemas.openxmlformats.org/drawingml/2006/picture">
                <pic:pic>
                  <pic:nvPicPr>
                    <pic:cNvPr id="0" name="workflow-monitor-mark.png"/>
                    <pic:cNvPicPr/>
                  </pic:nvPicPr>
                  <pic:blipFill>
                    <a:blip r:embed="rId9"/>
                    <a:stretch>
                      <a:fillRect/>
                    </a:stretch>
                  </pic:blipFill>
                  <pic:spPr>
                    <a:xfrm>
                      <a:off x="0" y="0"/>
                      <a:ext cx="502920" cy="502920"/>
                    </a:xfrm>
                    <a:prstGeom prst="rect"/>
                  </pic:spPr>
                </pic:pic>
              </a:graphicData>
            </a:graphic>
          </wp:inline>
        </w:drawing>
      </w:r>
    </w:p>
    <w:p>
      <w:pPr>
        <w:jc w:val="center"/>
      </w:pPr>
      <w:r>
        <w:rPr>
          <w:rFonts w:ascii="Aptos" w:hAnsi="Aptos"/>
          <w:b/>
          <w:sz w:val="20"/>
        </w:rPr>
        <w:t>WORKFLOW MONITOR</w:t>
      </w:r>
    </w:p>
    <w:p>
      <w:pPr>
        <w:pStyle w:val="Title"/>
        <w:jc w:val="center"/>
      </w:pPr>
      <w:r>
        <w:t>Product Overview</w:t>
      </w:r>
    </w:p>
    <w:p>
      <w:pPr>
        <w:jc w:val="center"/>
      </w:pPr>
      <w:r>
        <w:rPr>
          <w:i/>
          <w:sz w:val="20"/>
        </w:rPr>
        <w:t>Version 1.1.3</w:t>
      </w:r>
    </w:p>
    <w:p/>
    <w:p>
      <w:pPr>
        <w:jc w:val="both"/>
      </w:pPr>
      <w:r>
        <w:t>Workflow Monitor is an on-premises solution for monitoring backend processes, Workers, imports, batch jobs and other SQL Server-backed workflows. It provides a web dashboard, REST API, execution history, metrics, filtering, CSV export and offline signed-license validation.</w:t>
      </w:r>
    </w:p>
    <w:p>
      <w:pPr>
        <w:pStyle w:val="Heading1"/>
      </w:pPr>
      <w:r>
        <w:t>Editions and pricing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D9EAF7"/>
            <w:vAlign w:val="center"/>
            <w:tcMar>
              <w:top w:w="90" w:type="dxa"/>
              <w:start w:w="90" w:type="dxa"/>
              <w:bottom w:w="90" w:type="dxa"/>
              <w:end w:w="90" w:type="dxa"/>
            </w:tcMar>
          </w:tcPr>
          <w:p>
            <w:pPr>
              <w:jc w:val="center"/>
            </w:pPr>
            <w:r>
              <w:rPr>
                <w:b/>
                <w:sz w:val="17"/>
              </w:rPr>
              <w:t>Edition</w:t>
            </w:r>
          </w:p>
        </w:tc>
        <w:tc>
          <w:tcPr>
            <w:tcW w:type="dxa" w:w="1440"/>
            <w:shd w:fill="D9EAF7"/>
            <w:vAlign w:val="center"/>
            <w:tcMar>
              <w:top w:w="90" w:type="dxa"/>
              <w:start w:w="90" w:type="dxa"/>
              <w:bottom w:w="90" w:type="dxa"/>
              <w:end w:w="90" w:type="dxa"/>
            </w:tcMar>
          </w:tcPr>
          <w:p>
            <w:pPr>
              <w:jc w:val="center"/>
            </w:pPr>
            <w:r>
              <w:rPr>
                <w:b/>
                <w:sz w:val="17"/>
              </w:rPr>
              <w:t>Monthly</w:t>
            </w:r>
          </w:p>
        </w:tc>
        <w:tc>
          <w:tcPr>
            <w:tcW w:type="dxa" w:w="1440"/>
            <w:shd w:fill="D9EAF7"/>
            <w:vAlign w:val="center"/>
            <w:tcMar>
              <w:top w:w="90" w:type="dxa"/>
              <w:start w:w="90" w:type="dxa"/>
              <w:bottom w:w="90" w:type="dxa"/>
              <w:end w:w="90" w:type="dxa"/>
            </w:tcMar>
          </w:tcPr>
          <w:p>
            <w:pPr>
              <w:jc w:val="center"/>
            </w:pPr>
            <w:r>
              <w:rPr>
                <w:b/>
                <w:sz w:val="17"/>
              </w:rPr>
              <w:t>Quarterly</w:t>
            </w:r>
          </w:p>
        </w:tc>
        <w:tc>
          <w:tcPr>
            <w:tcW w:type="dxa" w:w="1440"/>
            <w:shd w:fill="D9EAF7"/>
            <w:vAlign w:val="center"/>
            <w:tcMar>
              <w:top w:w="90" w:type="dxa"/>
              <w:start w:w="90" w:type="dxa"/>
              <w:bottom w:w="90" w:type="dxa"/>
              <w:end w:w="90" w:type="dxa"/>
            </w:tcMar>
          </w:tcPr>
          <w:p>
            <w:pPr>
              <w:jc w:val="center"/>
            </w:pPr>
            <w:r>
              <w:rPr>
                <w:b/>
                <w:sz w:val="17"/>
              </w:rPr>
              <w:t>Semiannual</w:t>
            </w:r>
          </w:p>
        </w:tc>
        <w:tc>
          <w:tcPr>
            <w:tcW w:type="dxa" w:w="1440"/>
            <w:shd w:fill="D9EAF7"/>
            <w:vAlign w:val="center"/>
            <w:tcMar>
              <w:top w:w="90" w:type="dxa"/>
              <w:start w:w="90" w:type="dxa"/>
              <w:bottom w:w="90" w:type="dxa"/>
              <w:end w:w="90" w:type="dxa"/>
            </w:tcMar>
          </w:tcPr>
          <w:p>
            <w:pPr>
              <w:jc w:val="center"/>
            </w:pPr>
            <w:r>
              <w:rPr>
                <w:b/>
                <w:sz w:val="17"/>
              </w:rPr>
              <w:t>Annual</w:t>
            </w:r>
          </w:p>
        </w:tc>
        <w:tc>
          <w:tcPr>
            <w:tcW w:type="dxa" w:w="1440"/>
            <w:shd w:fill="D9EAF7"/>
            <w:vAlign w:val="center"/>
            <w:tcMar>
              <w:top w:w="90" w:type="dxa"/>
              <w:start w:w="90" w:type="dxa"/>
              <w:bottom w:w="90" w:type="dxa"/>
              <w:end w:w="90" w:type="dxa"/>
            </w:tcMar>
          </w:tcPr>
          <w:p>
            <w:pPr>
              <w:jc w:val="center"/>
            </w:pPr>
            <w:r>
              <w:rPr>
                <w:b/>
                <w:sz w:val="17"/>
              </w:rPr>
              <w:t>Processes</w:t>
            </w:r>
          </w:p>
        </w:tc>
        <w:tc>
          <w:tcPr>
            <w:tcW w:type="dxa" w:w="1440"/>
            <w:shd w:fill="D9EAF7"/>
            <w:vAlign w:val="center"/>
            <w:tcMar>
              <w:top w:w="90" w:type="dxa"/>
              <w:start w:w="90" w:type="dxa"/>
              <w:bottom w:w="90" w:type="dxa"/>
              <w:end w:w="90" w:type="dxa"/>
            </w:tcMar>
          </w:tcPr>
          <w:p>
            <w:pPr>
              <w:jc w:val="center"/>
            </w:pPr>
            <w:r>
              <w:rPr>
                <w:b/>
                <w:sz w:val="17"/>
              </w:rPr>
              <w:t>Workers / integrations</w:t>
            </w:r>
          </w:p>
        </w:tc>
      </w:tr>
      <w:tr>
        <w:tc>
          <w:tcPr>
            <w:tcW w:type="dxa" w:w="1440"/>
            <w:tcMar>
              <w:top w:w="90" w:type="dxa"/>
              <w:start w:w="90" w:type="dxa"/>
              <w:bottom w:w="90" w:type="dxa"/>
              <w:end w:w="90" w:type="dxa"/>
            </w:tcMar>
            <w:vAlign w:val="center"/>
          </w:tcPr>
          <w:p>
            <w:pPr>
              <w:jc w:val="center"/>
            </w:pPr>
            <w:r>
              <w:rPr>
                <w:sz w:val="17"/>
              </w:rPr>
              <w:t>Demo</w:t>
            </w:r>
          </w:p>
        </w:tc>
        <w:tc>
          <w:tcPr>
            <w:tcW w:type="dxa" w:w="1440"/>
            <w:tcMar>
              <w:top w:w="90" w:type="dxa"/>
              <w:start w:w="90" w:type="dxa"/>
              <w:bottom w:w="90" w:type="dxa"/>
              <w:end w:w="90" w:type="dxa"/>
            </w:tcMar>
            <w:vAlign w:val="center"/>
          </w:tcPr>
          <w:p>
            <w:pPr>
              <w:jc w:val="center"/>
            </w:pPr>
            <w:r>
              <w:rPr>
                <w:sz w:val="17"/>
              </w:rPr>
              <w:t>Free</w:t>
            </w:r>
          </w:p>
        </w:tc>
        <w:tc>
          <w:tcPr>
            <w:tcW w:type="dxa" w:w="1440"/>
            <w:tcMar>
              <w:top w:w="90" w:type="dxa"/>
              <w:start w:w="90" w:type="dxa"/>
              <w:bottom w:w="90" w:type="dxa"/>
              <w:end w:w="90" w:type="dxa"/>
            </w:tcMar>
            <w:vAlign w:val="center"/>
          </w:tcPr>
          <w:p>
            <w:pPr>
              <w:jc w:val="center"/>
            </w:pPr>
            <w:r>
              <w:rPr>
                <w:sz w:val="17"/>
              </w:rPr>
              <w:t>—</w:t>
            </w:r>
          </w:p>
        </w:tc>
        <w:tc>
          <w:tcPr>
            <w:tcW w:type="dxa" w:w="1440"/>
            <w:tcMar>
              <w:top w:w="90" w:type="dxa"/>
              <w:start w:w="90" w:type="dxa"/>
              <w:bottom w:w="90" w:type="dxa"/>
              <w:end w:w="90" w:type="dxa"/>
            </w:tcMar>
            <w:vAlign w:val="center"/>
          </w:tcPr>
          <w:p>
            <w:pPr>
              <w:jc w:val="center"/>
            </w:pPr>
            <w:r>
              <w:rPr>
                <w:sz w:val="17"/>
              </w:rPr>
              <w:t>—</w:t>
            </w:r>
          </w:p>
        </w:tc>
        <w:tc>
          <w:tcPr>
            <w:tcW w:type="dxa" w:w="1440"/>
            <w:tcMar>
              <w:top w:w="90" w:type="dxa"/>
              <w:start w:w="90" w:type="dxa"/>
              <w:bottom w:w="90" w:type="dxa"/>
              <w:end w:w="90" w:type="dxa"/>
            </w:tcMar>
            <w:vAlign w:val="center"/>
          </w:tcPr>
          <w:p>
            <w:pPr>
              <w:jc w:val="center"/>
            </w:pPr>
            <w:r>
              <w:rPr>
                <w:sz w:val="17"/>
              </w:rPr>
              <w:t>—</w:t>
            </w:r>
          </w:p>
        </w:tc>
        <w:tc>
          <w:tcPr>
            <w:tcW w:type="dxa" w:w="1440"/>
            <w:tcMar>
              <w:top w:w="90" w:type="dxa"/>
              <w:start w:w="90" w:type="dxa"/>
              <w:bottom w:w="90" w:type="dxa"/>
              <w:end w:w="90" w:type="dxa"/>
            </w:tcMar>
            <w:vAlign w:val="center"/>
          </w:tcPr>
          <w:p>
            <w:pPr>
              <w:jc w:val="center"/>
            </w:pPr>
            <w:r>
              <w:rPr>
                <w:sz w:val="17"/>
              </w:rPr>
              <w:t>Up to 3</w:t>
            </w:r>
          </w:p>
        </w:tc>
        <w:tc>
          <w:tcPr>
            <w:tcW w:type="dxa" w:w="1440"/>
            <w:tcMar>
              <w:top w:w="90" w:type="dxa"/>
              <w:start w:w="90" w:type="dxa"/>
              <w:bottom w:w="90" w:type="dxa"/>
              <w:end w:w="90" w:type="dxa"/>
            </w:tcMar>
            <w:vAlign w:val="center"/>
          </w:tcPr>
          <w:p>
            <w:pPr>
              <w:jc w:val="center"/>
            </w:pPr>
            <w:r>
              <w:rPr>
                <w:sz w:val="17"/>
              </w:rPr>
              <w:t>1</w:t>
            </w:r>
          </w:p>
        </w:tc>
      </w:tr>
      <w:tr>
        <w:tc>
          <w:tcPr>
            <w:tcW w:type="dxa" w:w="1440"/>
            <w:tcMar>
              <w:top w:w="90" w:type="dxa"/>
              <w:start w:w="90" w:type="dxa"/>
              <w:bottom w:w="90" w:type="dxa"/>
              <w:end w:w="90" w:type="dxa"/>
            </w:tcMar>
            <w:vAlign w:val="center"/>
          </w:tcPr>
          <w:p>
            <w:pPr>
              <w:jc w:val="center"/>
            </w:pPr>
            <w:r>
              <w:rPr>
                <w:sz w:val="17"/>
              </w:rPr>
              <w:t>Professional</w:t>
            </w:r>
          </w:p>
        </w:tc>
        <w:tc>
          <w:tcPr>
            <w:tcW w:type="dxa" w:w="1440"/>
            <w:tcMar>
              <w:top w:w="90" w:type="dxa"/>
              <w:start w:w="90" w:type="dxa"/>
              <w:bottom w:w="90" w:type="dxa"/>
              <w:end w:w="90" w:type="dxa"/>
            </w:tcMar>
            <w:vAlign w:val="center"/>
          </w:tcPr>
          <w:p>
            <w:pPr>
              <w:jc w:val="center"/>
            </w:pPr>
            <w:r>
              <w:rPr>
                <w:sz w:val="17"/>
              </w:rPr>
              <w:t>USD 15</w:t>
            </w:r>
          </w:p>
        </w:tc>
        <w:tc>
          <w:tcPr>
            <w:tcW w:type="dxa" w:w="1440"/>
            <w:tcMar>
              <w:top w:w="90" w:type="dxa"/>
              <w:start w:w="90" w:type="dxa"/>
              <w:bottom w:w="90" w:type="dxa"/>
              <w:end w:w="90" w:type="dxa"/>
            </w:tcMar>
            <w:vAlign w:val="center"/>
          </w:tcPr>
          <w:p>
            <w:pPr>
              <w:jc w:val="center"/>
            </w:pPr>
            <w:r>
              <w:rPr>
                <w:sz w:val="17"/>
              </w:rPr>
              <w:t>USD 42</w:t>
            </w:r>
          </w:p>
        </w:tc>
        <w:tc>
          <w:tcPr>
            <w:tcW w:type="dxa" w:w="1440"/>
            <w:tcMar>
              <w:top w:w="90" w:type="dxa"/>
              <w:start w:w="90" w:type="dxa"/>
              <w:bottom w:w="90" w:type="dxa"/>
              <w:end w:w="90" w:type="dxa"/>
            </w:tcMar>
            <w:vAlign w:val="center"/>
          </w:tcPr>
          <w:p>
            <w:pPr>
              <w:jc w:val="center"/>
            </w:pPr>
            <w:r>
              <w:rPr>
                <w:sz w:val="17"/>
              </w:rPr>
              <w:t>USD 81</w:t>
            </w:r>
          </w:p>
        </w:tc>
        <w:tc>
          <w:tcPr>
            <w:tcW w:type="dxa" w:w="1440"/>
            <w:tcMar>
              <w:top w:w="90" w:type="dxa"/>
              <w:start w:w="90" w:type="dxa"/>
              <w:bottom w:w="90" w:type="dxa"/>
              <w:end w:w="90" w:type="dxa"/>
            </w:tcMar>
            <w:vAlign w:val="center"/>
          </w:tcPr>
          <w:p>
            <w:pPr>
              <w:jc w:val="center"/>
            </w:pPr>
            <w:r>
              <w:rPr>
                <w:sz w:val="17"/>
              </w:rPr>
              <w:t>USD 149</w:t>
            </w:r>
          </w:p>
        </w:tc>
        <w:tc>
          <w:tcPr>
            <w:tcW w:type="dxa" w:w="1440"/>
            <w:tcMar>
              <w:top w:w="90" w:type="dxa"/>
              <w:start w:w="90" w:type="dxa"/>
              <w:bottom w:w="90" w:type="dxa"/>
              <w:end w:w="90" w:type="dxa"/>
            </w:tcMar>
            <w:vAlign w:val="center"/>
          </w:tcPr>
          <w:p>
            <w:pPr>
              <w:jc w:val="center"/>
            </w:pPr>
            <w:r>
              <w:rPr>
                <w:sz w:val="17"/>
              </w:rPr>
              <w:t>Up to 25</w:t>
            </w:r>
          </w:p>
        </w:tc>
        <w:tc>
          <w:tcPr>
            <w:tcW w:type="dxa" w:w="1440"/>
            <w:tcMar>
              <w:top w:w="90" w:type="dxa"/>
              <w:start w:w="90" w:type="dxa"/>
              <w:bottom w:w="90" w:type="dxa"/>
              <w:end w:w="90" w:type="dxa"/>
            </w:tcMar>
            <w:vAlign w:val="center"/>
          </w:tcPr>
          <w:p>
            <w:pPr>
              <w:jc w:val="center"/>
            </w:pPr>
            <w:r>
              <w:rPr>
                <w:sz w:val="17"/>
              </w:rPr>
              <w:t>Up to 5</w:t>
            </w:r>
          </w:p>
        </w:tc>
      </w:tr>
      <w:tr>
        <w:tc>
          <w:tcPr>
            <w:tcW w:type="dxa" w:w="1440"/>
            <w:tcMar>
              <w:top w:w="90" w:type="dxa"/>
              <w:start w:w="90" w:type="dxa"/>
              <w:bottom w:w="90" w:type="dxa"/>
              <w:end w:w="90" w:type="dxa"/>
            </w:tcMar>
            <w:vAlign w:val="center"/>
          </w:tcPr>
          <w:p>
            <w:pPr>
              <w:jc w:val="center"/>
            </w:pPr>
            <w:r>
              <w:rPr>
                <w:sz w:val="17"/>
              </w:rPr>
              <w:t>Enterprise</w:t>
            </w:r>
          </w:p>
        </w:tc>
        <w:tc>
          <w:tcPr>
            <w:tcW w:type="dxa" w:w="1440"/>
            <w:tcMar>
              <w:top w:w="90" w:type="dxa"/>
              <w:start w:w="90" w:type="dxa"/>
              <w:bottom w:w="90" w:type="dxa"/>
              <w:end w:w="90" w:type="dxa"/>
            </w:tcMar>
            <w:vAlign w:val="center"/>
          </w:tcPr>
          <w:p>
            <w:pPr>
              <w:jc w:val="center"/>
            </w:pPr>
            <w:r>
              <w:rPr>
                <w:sz w:val="17"/>
              </w:rPr>
              <w:t>USD 39</w:t>
            </w:r>
          </w:p>
        </w:tc>
        <w:tc>
          <w:tcPr>
            <w:tcW w:type="dxa" w:w="1440"/>
            <w:tcMar>
              <w:top w:w="90" w:type="dxa"/>
              <w:start w:w="90" w:type="dxa"/>
              <w:bottom w:w="90" w:type="dxa"/>
              <w:end w:w="90" w:type="dxa"/>
            </w:tcMar>
            <w:vAlign w:val="center"/>
          </w:tcPr>
          <w:p>
            <w:pPr>
              <w:jc w:val="center"/>
            </w:pPr>
            <w:r>
              <w:rPr>
                <w:sz w:val="17"/>
              </w:rPr>
              <w:t>USD 111</w:t>
            </w:r>
          </w:p>
        </w:tc>
        <w:tc>
          <w:tcPr>
            <w:tcW w:type="dxa" w:w="1440"/>
            <w:tcMar>
              <w:top w:w="90" w:type="dxa"/>
              <w:start w:w="90" w:type="dxa"/>
              <w:bottom w:w="90" w:type="dxa"/>
              <w:end w:w="90" w:type="dxa"/>
            </w:tcMar>
            <w:vAlign w:val="center"/>
          </w:tcPr>
          <w:p>
            <w:pPr>
              <w:jc w:val="center"/>
            </w:pPr>
            <w:r>
              <w:rPr>
                <w:sz w:val="17"/>
              </w:rPr>
              <w:t>USD 210</w:t>
            </w:r>
          </w:p>
        </w:tc>
        <w:tc>
          <w:tcPr>
            <w:tcW w:type="dxa" w:w="1440"/>
            <w:tcMar>
              <w:top w:w="90" w:type="dxa"/>
              <w:start w:w="90" w:type="dxa"/>
              <w:bottom w:w="90" w:type="dxa"/>
              <w:end w:w="90" w:type="dxa"/>
            </w:tcMar>
            <w:vAlign w:val="center"/>
          </w:tcPr>
          <w:p>
            <w:pPr>
              <w:jc w:val="center"/>
            </w:pPr>
            <w:r>
              <w:rPr>
                <w:sz w:val="17"/>
              </w:rPr>
              <w:t>USD 399</w:t>
            </w:r>
          </w:p>
        </w:tc>
        <w:tc>
          <w:tcPr>
            <w:tcW w:type="dxa" w:w="1440"/>
            <w:tcMar>
              <w:top w:w="90" w:type="dxa"/>
              <w:start w:w="90" w:type="dxa"/>
              <w:bottom w:w="90" w:type="dxa"/>
              <w:end w:w="90" w:type="dxa"/>
            </w:tcMar>
            <w:vAlign w:val="center"/>
          </w:tcPr>
          <w:p>
            <w:pPr>
              <w:jc w:val="center"/>
            </w:pPr>
            <w:r>
              <w:rPr>
                <w:sz w:val="17"/>
              </w:rPr>
              <w:t>Up to 100</w:t>
            </w:r>
          </w:p>
        </w:tc>
        <w:tc>
          <w:tcPr>
            <w:tcW w:type="dxa" w:w="1440"/>
            <w:tcMar>
              <w:top w:w="90" w:type="dxa"/>
              <w:start w:w="90" w:type="dxa"/>
              <w:bottom w:w="90" w:type="dxa"/>
              <w:end w:w="90" w:type="dxa"/>
            </w:tcMar>
            <w:vAlign w:val="center"/>
          </w:tcPr>
          <w:p>
            <w:pPr>
              <w:jc w:val="center"/>
            </w:pPr>
            <w:r>
              <w:rPr>
                <w:sz w:val="17"/>
              </w:rPr>
              <w:t>Up to 20</w:t>
            </w:r>
          </w:p>
        </w:tc>
      </w:tr>
      <w:tr>
        <w:tc>
          <w:tcPr>
            <w:tcW w:type="dxa" w:w="1440"/>
            <w:tcMar>
              <w:top w:w="90" w:type="dxa"/>
              <w:start w:w="90" w:type="dxa"/>
              <w:bottom w:w="90" w:type="dxa"/>
              <w:end w:w="90" w:type="dxa"/>
            </w:tcMar>
            <w:vAlign w:val="center"/>
          </w:tcPr>
          <w:p>
            <w:pPr>
              <w:jc w:val="center"/>
            </w:pPr>
            <w:r>
              <w:rPr>
                <w:sz w:val="17"/>
              </w:rPr>
              <w:t>Enterprise Custom</w:t>
            </w:r>
          </w:p>
        </w:tc>
        <w:tc>
          <w:tcPr>
            <w:tcW w:type="dxa" w:w="1440"/>
            <w:tcMar>
              <w:top w:w="90" w:type="dxa"/>
              <w:start w:w="90" w:type="dxa"/>
              <w:bottom w:w="90" w:type="dxa"/>
              <w:end w:w="90" w:type="dxa"/>
            </w:tcMar>
            <w:vAlign w:val="center"/>
          </w:tcPr>
          <w:p>
            <w:pPr>
              <w:jc w:val="center"/>
            </w:pPr>
            <w:r>
              <w:rPr>
                <w:sz w:val="17"/>
              </w:rPr>
              <w:t>Contact</w:t>
            </w:r>
          </w:p>
        </w:tc>
        <w:tc>
          <w:tcPr>
            <w:tcW w:type="dxa" w:w="1440"/>
            <w:tcMar>
              <w:top w:w="90" w:type="dxa"/>
              <w:start w:w="90" w:type="dxa"/>
              <w:bottom w:w="90" w:type="dxa"/>
              <w:end w:w="90" w:type="dxa"/>
            </w:tcMar>
            <w:vAlign w:val="center"/>
          </w:tcPr>
          <w:p>
            <w:pPr>
              <w:jc w:val="center"/>
            </w:pPr>
            <w:r>
              <w:rPr>
                <w:sz w:val="17"/>
              </w:rPr>
              <w:t>Contact</w:t>
            </w:r>
          </w:p>
        </w:tc>
        <w:tc>
          <w:tcPr>
            <w:tcW w:type="dxa" w:w="1440"/>
            <w:tcMar>
              <w:top w:w="90" w:type="dxa"/>
              <w:start w:w="90" w:type="dxa"/>
              <w:bottom w:w="90" w:type="dxa"/>
              <w:end w:w="90" w:type="dxa"/>
            </w:tcMar>
            <w:vAlign w:val="center"/>
          </w:tcPr>
          <w:p>
            <w:pPr>
              <w:jc w:val="center"/>
            </w:pPr>
            <w:r>
              <w:rPr>
                <w:sz w:val="17"/>
              </w:rPr>
              <w:t>Contact</w:t>
            </w:r>
          </w:p>
        </w:tc>
        <w:tc>
          <w:tcPr>
            <w:tcW w:type="dxa" w:w="1440"/>
            <w:tcMar>
              <w:top w:w="90" w:type="dxa"/>
              <w:start w:w="90" w:type="dxa"/>
              <w:bottom w:w="90" w:type="dxa"/>
              <w:end w:w="90" w:type="dxa"/>
            </w:tcMar>
            <w:vAlign w:val="center"/>
          </w:tcPr>
          <w:p>
            <w:pPr>
              <w:jc w:val="center"/>
            </w:pPr>
            <w:r>
              <w:rPr>
                <w:sz w:val="17"/>
              </w:rPr>
              <w:t>Contact</w:t>
            </w:r>
          </w:p>
        </w:tc>
        <w:tc>
          <w:tcPr>
            <w:tcW w:type="dxa" w:w="1440"/>
            <w:tcMar>
              <w:top w:w="90" w:type="dxa"/>
              <w:start w:w="90" w:type="dxa"/>
              <w:bottom w:w="90" w:type="dxa"/>
              <w:end w:w="90" w:type="dxa"/>
            </w:tcMar>
            <w:vAlign w:val="center"/>
          </w:tcPr>
          <w:p>
            <w:pPr>
              <w:jc w:val="center"/>
            </w:pPr>
            <w:r>
              <w:rPr>
                <w:sz w:val="17"/>
              </w:rPr>
              <w:t>More than 100</w:t>
            </w:r>
          </w:p>
        </w:tc>
        <w:tc>
          <w:tcPr>
            <w:tcW w:type="dxa" w:w="1440"/>
            <w:tcMar>
              <w:top w:w="90" w:type="dxa"/>
              <w:start w:w="90" w:type="dxa"/>
              <w:bottom w:w="90" w:type="dxa"/>
              <w:end w:w="90" w:type="dxa"/>
            </w:tcMar>
            <w:vAlign w:val="center"/>
          </w:tcPr>
          <w:p>
            <w:pPr>
              <w:jc w:val="center"/>
            </w:pPr>
            <w:r>
              <w:rPr>
                <w:sz w:val="17"/>
              </w:rPr>
              <w:t>More than 20</w:t>
            </w:r>
          </w:p>
        </w:tc>
      </w:tr>
    </w:tbl>
    <w:p/>
    <w:p>
      <w:r>
        <w:t>Longer billing periods are discounted compared with paying the equivalent monthly periods. Each paid license is issued for a specific installation and billing period.</w:t>
      </w:r>
    </w:p>
    <w:p>
      <w:pPr>
        <w:pStyle w:val="Heading1"/>
      </w:pPr>
      <w:r>
        <w:t>Core capabilities</w:t>
      </w:r>
    </w:p>
    <w:p>
      <w:pPr>
        <w:pStyle w:val="ListBullet"/>
      </w:pPr>
      <w:r>
        <w:t>Authenticated web dashboard and REST API.</w:t>
      </w:r>
    </w:p>
    <w:p>
      <w:pPr>
        <w:pStyle w:val="ListBullet"/>
      </w:pPr>
      <w:r>
        <w:t>Execution history and detail.</w:t>
      </w:r>
    </w:p>
    <w:p>
      <w:pPr>
        <w:pStyle w:val="ListBullet"/>
      </w:pPr>
      <w:r>
        <w:t>Running, Succeeded, Failed and Cancelled states.</w:t>
      </w:r>
    </w:p>
    <w:p>
      <w:pPr>
        <w:pStyle w:val="ListBullet"/>
      </w:pPr>
      <w:r>
        <w:t>Processing metrics and stale-execution detection.</w:t>
      </w:r>
    </w:p>
    <w:p>
      <w:pPr>
        <w:pStyle w:val="ListBullet"/>
      </w:pPr>
      <w:r>
        <w:t>Filtering, sorting, pagination and CSV export.</w:t>
      </w:r>
    </w:p>
    <w:p>
      <w:pPr>
        <w:pStyle w:val="ListBullet"/>
      </w:pPr>
      <w:r>
        <w:t>Worker Service and SQL Server integration.</w:t>
      </w:r>
    </w:p>
    <w:p>
      <w:pPr>
        <w:pStyle w:val="ListBullet"/>
      </w:pPr>
      <w:r>
        <w:t>API-key authentication for Workers and integrations.</w:t>
      </w:r>
    </w:p>
    <w:p>
      <w:pPr>
        <w:pStyle w:val="ListBullet"/>
      </w:pPr>
      <w:r>
        <w:t>Spanish and English interface.</w:t>
      </w:r>
    </w:p>
    <w:p>
      <w:pPr>
        <w:pStyle w:val="ListBullet"/>
      </w:pPr>
      <w:r>
        <w:t>Offline signed-license validation.</w:t>
      </w:r>
    </w:p>
    <w:p>
      <w:pPr>
        <w:pStyle w:val="Heading1"/>
      </w:pPr>
      <w:r>
        <w:t>Demo edition</w:t>
      </w:r>
    </w:p>
    <w:p>
      <w:r>
        <w:t>The Demo provides a 30-day technical evaluation with up to 3 registered processes and 1 Worker/integration. The dashboard, REST API, real execution processing and CSV export are enabled. After the evaluation period expires, existing information remains available in read-only mode.</w:t>
      </w:r>
    </w:p>
    <w:p>
      <w:pPr>
        <w:pStyle w:val="Heading1"/>
      </w:pPr>
      <w:r>
        <w:t>Purchase, payment and activation</w:t>
      </w:r>
    </w:p>
    <w:p>
      <w:r>
        <w:t>The Mercado Pago subscription and online-payment flow has been validated end to end. When payment is confirmed, the purchase is recorded as Active in the commercial system. A signed license is then issued for the selected plan, billing period and supplied Installation ID.</w:t>
      </w:r>
    </w:p>
    <w:p>
      <w:r>
        <w:t>Private commercial source code, credentials, license-generation tooling, signing material and issued licenses are not distributed in the public repository.</w:t>
      </w:r>
    </w:p>
    <w:p>
      <w:pPr>
        <w:pStyle w:val="Heading1"/>
      </w:pPr>
      <w:r>
        <w:t>Licensing</w:t>
      </w:r>
    </w:p>
    <w:p>
      <w:r>
        <w:t>Professional and Enterprise use the same product core and differ by licensed capacity limits. The license is signed, tied to one installation, and contains the expiration date plus process and Worker/integration limits. Validation is performed locally without requiring a permanent Internet connection.</w:t>
      </w:r>
    </w:p>
    <w:p>
      <w:pPr>
        <w:pStyle w:val="Heading1"/>
      </w:pPr>
      <w:r>
        <w:t>Commercial contact</w:t>
      </w:r>
    </w:p>
    <w:p>
      <w:r>
        <w:t>contacto@federicostimpfl.com.ar</w:t>
      </w:r>
    </w:p>
    <w:p>
      <w:r>
        <w:t>https://www.federicostimpfl.com.ar</w:t>
      </w:r>
    </w:p>
    <w:p>
      <w:pPr>
        <w:jc w:val="center"/>
      </w:pPr>
      <w:r>
        <w:rPr>
          <w:b/>
          <w:sz w:val="18"/>
        </w:rPr>
        <w:t>Workflow Monitor 1.1.3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