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" cy="5669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flow-monitor-mark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" cy="5669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0B2C64"/>
          <w:sz w:val="48"/>
        </w:rPr>
        <w:t>Workflow Monitor</w:t>
      </w:r>
    </w:p>
    <w:p>
      <w:pPr>
        <w:jc w:val="center"/>
      </w:pPr>
      <w:r>
        <w:rPr>
          <w:color w:val="1463F3"/>
          <w:sz w:val="28"/>
        </w:rPr>
        <w:t>Installation and User Guide</w:t>
      </w:r>
    </w:p>
    <w:p>
      <w:pPr>
        <w:jc w:val="center"/>
      </w:pPr>
      <w:r>
        <w:rPr>
          <w:color w:val="5A5A5A"/>
          <w:sz w:val="19"/>
        </w:rPr>
        <w:t>Version 1.1.2 · September 2026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0B2C64"/>
            <w:vAlign w:val="center"/>
          </w:tcPr>
          <w:p>
            <w:r>
              <w:rPr>
                <w:b/>
                <w:color w:val="FFFFFF"/>
              </w:rPr>
              <w:t>Item</w:t>
            </w:r>
          </w:p>
        </w:tc>
        <w:tc>
          <w:tcPr>
            <w:tcW w:type="dxa" w:w="5040"/>
            <w:shd w:fill="0B2C64"/>
            <w:vAlign w:val="center"/>
          </w:tcPr>
          <w:p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5040"/>
          </w:tcPr>
          <w:p>
            <w:r>
              <w:t>Product</w:t>
            </w:r>
          </w:p>
        </w:tc>
        <w:tc>
          <w:tcPr>
            <w:tcW w:type="dxa" w:w="5040"/>
          </w:tcPr>
          <w:p>
            <w:r>
              <w:t>Workflow Monitor</w:t>
            </w:r>
          </w:p>
        </w:tc>
      </w:tr>
      <w:tr>
        <w:tc>
          <w:tcPr>
            <w:tcW w:type="dxa" w:w="5040"/>
          </w:tcPr>
          <w:p>
            <w:r>
              <w:t>Technical solution name</w:t>
            </w:r>
          </w:p>
        </w:tc>
        <w:tc>
          <w:tcPr>
            <w:tcW w:type="dxa" w:w="5040"/>
          </w:tcPr>
          <w:p>
            <w:r>
              <w:t>SqlWorkflowMonitor</w:t>
            </w:r>
          </w:p>
        </w:tc>
      </w:tr>
      <w:tr>
        <w:tc>
          <w:tcPr>
            <w:tcW w:type="dxa" w:w="5040"/>
          </w:tcPr>
          <w:p>
            <w:r>
              <w:t>Version</w:t>
            </w:r>
          </w:p>
        </w:tc>
        <w:tc>
          <w:tcPr>
            <w:tcW w:type="dxa" w:w="5040"/>
          </w:tcPr>
          <w:p>
            <w:r>
              <w:t>1.1.2</w:t>
            </w:r>
          </w:p>
        </w:tc>
      </w:tr>
      <w:tr>
        <w:tc>
          <w:tcPr>
            <w:tcW w:type="dxa" w:w="5040"/>
          </w:tcPr>
          <w:p>
            <w:r>
              <w:t>Platform</w:t>
            </w:r>
          </w:p>
        </w:tc>
        <w:tc>
          <w:tcPr>
            <w:tcW w:type="dxa" w:w="5040"/>
          </w:tcPr>
          <w:p>
            <w:r>
              <w:t>Windows x64</w:t>
            </w:r>
          </w:p>
        </w:tc>
      </w:tr>
      <w:tr>
        <w:tc>
          <w:tcPr>
            <w:tcW w:type="dxa" w:w="5040"/>
          </w:tcPr>
          <w:p>
            <w:r>
              <w:t>Runtime</w:t>
            </w:r>
          </w:p>
        </w:tc>
        <w:tc>
          <w:tcPr>
            <w:tcW w:type="dxa" w:w="5040"/>
          </w:tcPr>
          <w:p>
            <w:r>
              <w:t>Self-contained .NET 10</w:t>
            </w:r>
          </w:p>
        </w:tc>
      </w:tr>
      <w:tr>
        <w:tc>
          <w:tcPr>
            <w:tcW w:type="dxa" w:w="5040"/>
          </w:tcPr>
          <w:p>
            <w:r>
              <w:t>Database</w:t>
            </w:r>
          </w:p>
        </w:tc>
        <w:tc>
          <w:tcPr>
            <w:tcW w:type="dxa" w:w="5040"/>
          </w:tcPr>
          <w:p>
            <w:r>
              <w:t>SQL Server</w:t>
            </w:r>
          </w:p>
        </w:tc>
      </w:tr>
      <w:tr>
        <w:tc>
          <w:tcPr>
            <w:tcW w:type="dxa" w:w="5040"/>
          </w:tcPr>
          <w:p>
            <w:r>
              <w:t>Architecture</w:t>
            </w:r>
          </w:p>
        </w:tc>
        <w:tc>
          <w:tcPr>
            <w:tcW w:type="dxa" w:w="5040"/>
          </w:tcPr>
          <w:p>
            <w:r>
              <w:t>Web/API + Worker Service + SQL Server</w:t>
            </w:r>
          </w:p>
        </w:tc>
      </w:tr>
    </w:tbl>
    <w:p/>
    <w:p>
      <w:pPr>
        <w:pStyle w:val="Heading1"/>
      </w:pPr>
      <w:r>
        <w:t>1. Product scope</w:t>
      </w:r>
    </w:p>
    <w:p>
      <w:r>
        <w:t>Workflow Monitor records, monitors and reviews executions of backend processes and SQL-backed workflows. The Windows package runs a Web/API service and a Worker service and stores operational data in SQL Server.</w:t>
      </w:r>
    </w:p>
    <w:p>
      <w:pPr>
        <w:pStyle w:val="Heading1"/>
      </w:pPr>
      <w:r>
        <w:t>2. Demo edition</w:t>
      </w:r>
    </w:p>
    <w:p>
      <w:pPr>
        <w:pStyle w:val="ListBullet"/>
      </w:pPr>
      <w:r>
        <w:t>30-day technical evaluation.</w:t>
      </w:r>
    </w:p>
    <w:p>
      <w:pPr>
        <w:pStyle w:val="ListBullet"/>
      </w:pPr>
      <w:r>
        <w:t>Up to 3 registered processes.</w:t>
      </w:r>
    </w:p>
    <w:p>
      <w:pPr>
        <w:pStyle w:val="ListBullet"/>
      </w:pPr>
      <w:r>
        <w:t>1 Worker/integration.</w:t>
      </w:r>
    </w:p>
    <w:p>
      <w:pPr>
        <w:pStyle w:val="ListBullet"/>
      </w:pPr>
      <w:r>
        <w:t>Real dashboard, REST API and workflow processing.</w:t>
      </w:r>
    </w:p>
    <w:p>
      <w:pPr>
        <w:pStyle w:val="ListBullet"/>
      </w:pPr>
      <w:r>
        <w:t>Read-only access to recorded information after expiration.</w:t>
      </w:r>
    </w:p>
    <w:p>
      <w:pPr>
        <w:pStyle w:val="ListBullet"/>
      </w:pPr>
      <w:r>
        <w:t>Spanish and English interface.</w:t>
      </w:r>
    </w:p>
    <w:p>
      <w:pPr>
        <w:pStyle w:val="Heading1"/>
      </w:pPr>
      <w:r>
        <w:t>3. Requirements</w:t>
      </w:r>
    </w:p>
    <w:p>
      <w:pPr>
        <w:pStyle w:val="ListBullet"/>
      </w:pPr>
      <w:r>
        <w:t>Windows x64.</w:t>
      </w:r>
    </w:p>
    <w:p>
      <w:pPr>
        <w:pStyle w:val="ListBullet"/>
      </w:pPr>
      <w:r>
        <w:t>A local or reachable SQL Server instance.</w:t>
      </w:r>
    </w:p>
    <w:p>
      <w:pPr>
        <w:pStyle w:val="ListBullet"/>
      </w:pPr>
      <w:r>
        <w:t>The installing Windows account must be able to create the SqlWorkflowMonitor database.</w:t>
      </w:r>
    </w:p>
    <w:p>
      <w:pPr>
        <w:pStyle w:val="ListBullet"/>
      </w:pPr>
      <w:r>
        <w:t>Administrator permissions to install Windows services.</w:t>
      </w:r>
    </w:p>
    <w:p>
      <w:pPr>
        <w:pStyle w:val="ListBullet"/>
      </w:pPr>
      <w:r>
        <w:t>A modern web browser.</w:t>
      </w:r>
    </w:p>
    <w:p>
      <w:pPr>
        <w:pStyle w:val="ListBullet"/>
      </w:pPr>
      <w:r>
        <w:t>No separate .NET runtime installation is required for the packaged Demo.</w:t>
      </w:r>
    </w:p>
    <w:p>
      <w:pPr>
        <w:pStyle w:val="Heading1"/>
      </w:pPr>
      <w:r>
        <w:t>4. Installation</w:t>
      </w:r>
    </w:p>
    <w:p>
      <w:pPr>
        <w:pStyle w:val="ListNumber"/>
      </w:pPr>
      <w:r>
        <w:t>Download the Demo ZIP and its SHA-256 checksum from the official Workflow Monitor GitHub Release.</w:t>
      </w:r>
    </w:p>
    <w:p>
      <w:pPr>
        <w:pStyle w:val="ListNumber"/>
      </w:pPr>
      <w:r>
        <w:t>Verify the checksum when possible.</w:t>
      </w:r>
    </w:p>
    <w:p>
      <w:pPr>
        <w:pStyle w:val="ListNumber"/>
      </w:pPr>
      <w:r>
        <w:t>Extract the complete ZIP to a local temporary folder.</w:t>
      </w:r>
    </w:p>
    <w:p>
      <w:pPr>
        <w:pStyle w:val="ListNumber"/>
      </w:pPr>
      <w:r>
        <w:t>Run WorkflowMonitorSetup.exe.</w:t>
      </w:r>
    </w:p>
    <w:p>
      <w:pPr>
        <w:pStyle w:val="ListNumber"/>
      </w:pPr>
      <w:r>
        <w:t>Enter the SQL Server instance. Use . for the default local instance.</w:t>
      </w:r>
    </w:p>
    <w:p>
      <w:pPr>
        <w:pStyle w:val="ListNumber"/>
      </w:pPr>
      <w:r>
        <w:t>The administrator username is admin. Define and repeat a password of at least 12 characters.</w:t>
      </w:r>
    </w:p>
    <w:p>
      <w:pPr>
        <w:pStyle w:val="ListNumber"/>
      </w:pPr>
      <w:r>
        <w:t>Select Install and approve the Windows administrator prompt.</w:t>
      </w:r>
    </w:p>
    <w:p>
      <w:pPr>
        <w:pStyle w:val="ListNumber"/>
      </w:pPr>
      <w:r>
        <w:t>Wait until all installation stages complete.</w:t>
      </w:r>
    </w:p>
    <w:p>
      <w:pPr>
        <w:pStyle w:val="ListNumber"/>
      </w:pPr>
      <w:r>
        <w:t>Keep “Open Workflow Monitor now” selected and choose Finish.</w:t>
      </w:r>
    </w:p>
    <w:p>
      <w:r>
        <w:t>Installation location: C:\Program Files\Workflow Monitor</w:t>
      </w:r>
    </w:p>
    <w:p>
      <w:r>
        <w:t>Local login URL: http://127.0.0.1:5080/account/login</w:t>
      </w:r>
    </w:p>
    <w:p>
      <w:pPr>
        <w:pStyle w:val="Heading1"/>
      </w:pPr>
      <w:r>
        <w:t>5. Installed components</w:t>
      </w:r>
    </w:p>
    <w:p>
      <w:pPr>
        <w:pStyle w:val="ListBullet"/>
      </w:pPr>
      <w:r>
        <w:t>Windows service: SqlWorkflowMonitor Web.</w:t>
      </w:r>
    </w:p>
    <w:p>
      <w:pPr>
        <w:pStyle w:val="ListBullet"/>
      </w:pPr>
      <w:r>
        <w:t>Windows service: SqlWorkflowMonitor Worker.</w:t>
      </w:r>
    </w:p>
    <w:p>
      <w:pPr>
        <w:pStyle w:val="ListBullet"/>
      </w:pPr>
      <w:r>
        <w:t>SQL Server database: SqlWorkflowMonitor.</w:t>
      </w:r>
    </w:p>
    <w:p>
      <w:pPr>
        <w:pStyle w:val="ListBullet"/>
      </w:pPr>
      <w:r>
        <w:t>Operational data root: C:\SqlWorkflowMonitor\Data.</w:t>
      </w:r>
    </w:p>
    <w:p>
      <w:pPr>
        <w:pStyle w:val="ListBullet"/>
      </w:pPr>
      <w:r>
        <w:t>Current brand assets and graphical uninstall launcher.</w:t>
      </w:r>
    </w:p>
    <w:p>
      <w:pPr>
        <w:pStyle w:val="Heading1"/>
      </w:pPr>
      <w:r>
        <w:t>6. Sample processing</w:t>
      </w:r>
    </w:p>
    <w:p>
      <w:r>
        <w:t>The installer creates a reusable sample at C:\SqlWorkflowMonitor\Data\Samples\customers.csv. Copy it to C:\SqlWorkflowMonitor\Data\Input\customers.csv to run the example.</w:t>
      </w:r>
    </w:p>
    <w:p>
      <w:r>
        <w:t>The Demo Worker checks the input folder every 60 seconds, so detection may take up to approximately one minute. Processing begins immediately after detection.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0B2C64"/>
            <w:vAlign w:val="center"/>
          </w:tcPr>
          <w:p>
            <w:r>
              <w:rPr>
                <w:b/>
                <w:color w:val="FFFFFF"/>
              </w:rPr>
              <w:t>Item</w:t>
            </w:r>
          </w:p>
        </w:tc>
        <w:tc>
          <w:tcPr>
            <w:tcW w:type="dxa" w:w="5040"/>
            <w:shd w:fill="0B2C64"/>
            <w:vAlign w:val="center"/>
          </w:tcPr>
          <w:p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5040"/>
          </w:tcPr>
          <w:p>
            <w:r>
              <w:t>Process</w:t>
            </w:r>
          </w:p>
        </w:tc>
        <w:tc>
          <w:tcPr>
            <w:tcW w:type="dxa" w:w="5040"/>
          </w:tcPr>
          <w:p>
            <w:r>
              <w:t>Importación de clientes</w:t>
            </w:r>
          </w:p>
        </w:tc>
      </w:tr>
      <w:tr>
        <w:tc>
          <w:tcPr>
            <w:tcW w:type="dxa" w:w="5040"/>
          </w:tcPr>
          <w:p>
            <w:r>
              <w:t>Total</w:t>
            </w:r>
          </w:p>
        </w:tc>
        <w:tc>
          <w:tcPr>
            <w:tcW w:type="dxa" w:w="5040"/>
          </w:tcPr>
          <w:p>
            <w:r>
              <w:t>3</w:t>
            </w:r>
          </w:p>
        </w:tc>
      </w:tr>
      <w:tr>
        <w:tc>
          <w:tcPr>
            <w:tcW w:type="dxa" w:w="5040"/>
          </w:tcPr>
          <w:p>
            <w:r>
              <w:t>Correct</w:t>
            </w:r>
          </w:p>
        </w:tc>
        <w:tc>
          <w:tcPr>
            <w:tcW w:type="dxa" w:w="5040"/>
          </w:tcPr>
          <w:p>
            <w:r>
              <w:t>2</w:t>
            </w:r>
          </w:p>
        </w:tc>
      </w:tr>
      <w:tr>
        <w:tc>
          <w:tcPr>
            <w:tcW w:type="dxa" w:w="5040"/>
          </w:tcPr>
          <w:p>
            <w:r>
              <w:t>Incorrect</w:t>
            </w:r>
          </w:p>
        </w:tc>
        <w:tc>
          <w:tcPr>
            <w:tcW w:type="dxa" w:w="5040"/>
          </w:tcPr>
          <w:p>
            <w:r>
              <w:t>1</w:t>
            </w:r>
          </w:p>
        </w:tc>
      </w:tr>
      <w:tr>
        <w:tc>
          <w:tcPr>
            <w:tcW w:type="dxa" w:w="5040"/>
          </w:tcPr>
          <w:p>
            <w:r>
              <w:t>Affected rows</w:t>
            </w:r>
          </w:p>
        </w:tc>
        <w:tc>
          <w:tcPr>
            <w:tcW w:type="dxa" w:w="5040"/>
          </w:tcPr>
          <w:p>
            <w:r>
              <w:t>2</w:t>
            </w:r>
          </w:p>
        </w:tc>
      </w:tr>
    </w:tbl>
    <w:p/>
    <w:p>
      <w:pPr>
        <w:pStyle w:val="Heading1"/>
      </w:pPr>
      <w:r>
        <w:t>7. Dashboard and execution data</w:t>
      </w:r>
    </w:p>
    <w:p>
      <w:pPr>
        <w:pStyle w:val="ListBullet"/>
      </w:pPr>
      <w:r>
        <w:t>Execution status and history.</w:t>
      </w:r>
    </w:p>
    <w:p>
      <w:pPr>
        <w:pStyle w:val="ListBullet"/>
      </w:pPr>
      <w:r>
        <w:t>Start, completion and duration information.</w:t>
      </w:r>
    </w:p>
    <w:p>
      <w:pPr>
        <w:pStyle w:val="ListBullet"/>
      </w:pPr>
      <w:r>
        <w:t>Processing totals and affected rows.</w:t>
      </w:r>
    </w:p>
    <w:p>
      <w:pPr>
        <w:pStyle w:val="ListBullet"/>
      </w:pPr>
      <w:r>
        <w:t>Failure information.</w:t>
      </w:r>
    </w:p>
    <w:p>
      <w:pPr>
        <w:pStyle w:val="ListBullet"/>
      </w:pPr>
      <w:r>
        <w:t>Filtering, sorting, pagination and CSV export.</w:t>
      </w:r>
    </w:p>
    <w:p>
      <w:pPr>
        <w:pStyle w:val="ListBullet"/>
      </w:pPr>
      <w:r>
        <w:t>Stale execution detection.</w:t>
      </w:r>
    </w:p>
    <w:p>
      <w:pPr>
        <w:pStyle w:val="Heading1"/>
      </w:pPr>
      <w:r>
        <w:t>8. Security and local configuration</w:t>
      </w:r>
    </w:p>
    <w:p>
      <w:r>
        <w:t>The installer generates a random API key and a PBKDF2-SHA-256 administrator password hash/salt at installation time. No real password, API key, private signing key or customer license is embedded in the package source templates.</w:t>
      </w:r>
    </w:p>
    <w:p>
      <w:r>
        <w:t>The default Web binding is loopback-only. Remote exposure requires a controlled HTTPS deployment and appropriate network restrictions.</w:t>
      </w:r>
    </w:p>
    <w:p>
      <w:pPr>
        <w:pStyle w:val="Heading1"/>
      </w:pPr>
      <w:r>
        <w:t>9. Uninstallation</w:t>
      </w:r>
    </w:p>
    <w:p>
      <w:pPr>
        <w:pStyle w:val="ListNumber"/>
      </w:pPr>
      <w:r>
        <w:t>Open Windows Installed apps and select Workflow Monitor Demo, or run C:\Program Files\Workflow Monitor\WorkflowMonitorUninstall.exe.</w:t>
      </w:r>
    </w:p>
    <w:p>
      <w:pPr>
        <w:pStyle w:val="ListNumber"/>
      </w:pPr>
      <w:r>
        <w:t>Confirm the SQL Server instance shown by the uninstaller.</w:t>
      </w:r>
    </w:p>
    <w:p>
      <w:pPr>
        <w:pStyle w:val="ListNumber"/>
      </w:pPr>
      <w:r>
        <w:t>Choose whether to preserve or remove the SqlWorkflowMonitor database.</w:t>
      </w:r>
    </w:p>
    <w:p>
      <w:pPr>
        <w:pStyle w:val="ListNumber"/>
      </w:pPr>
      <w:r>
        <w:t>Complete the uninstall. The Web and Worker services and installed application files are removed.</w:t>
      </w:r>
    </w:p>
    <w:p>
      <w:pPr>
        <w:pStyle w:val="Heading1"/>
      </w:pPr>
      <w:r>
        <w:t>10. SmartScreen and package integrity</w:t>
      </w:r>
    </w:p>
    <w:p>
      <w:r>
        <w:t>Version 1.1.2 is distributed without a trusted Authenticode publisher signature, so Microsoft Defender SmartScreen can display an “unrecognized app” warning. This is a distribution-signing/reputation issue, not an application runtime error. Use only the official Release asset and verify its SHA-256 checksum.</w:t>
      </w:r>
    </w:p>
    <w:p>
      <w:pPr>
        <w:pStyle w:val="Heading1"/>
      </w:pPr>
      <w:r>
        <w:t>11. Commercial editions</w:t>
      </w:r>
    </w:p>
    <w:p>
      <w:r>
        <w:t>Professional and Enterprise packages use the same monitoring core with licensed limits and production-oriented configuration. Commercial packages are distributed separately with customer-specific signed license files.</w:t>
      </w:r>
    </w:p>
    <w:p>
      <w:pPr>
        <w:pStyle w:val="Heading1"/>
      </w:pPr>
      <w:r>
        <w:t>12. Support and safe diagnostics</w:t>
      </w:r>
    </w:p>
    <w:p>
      <w:r>
        <w:t>When reporting a problem, remove passwords, API keys, connection-string credentials, customer data, production identifiers and sensitive logs. Include only sanitized reproduction details.</w:t>
      </w:r>
    </w:p>
    <w:sectPr w:rsidR="00FC693F" w:rsidRPr="0006063C" w:rsidSect="00034616"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5A5A"/>
        <w:sz w:val="16"/>
      </w:rPr>
      <w:t>Workflow Monitor 1.1.2  |  github.com/stimpfldev/WorkflowMonitor  |  federicostimpfl.com.ar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B2C6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B2C6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Workflow Monitor</dc:title>
  <dc:subject>Workflow Monitor 1.1.2 public documentation</dc:subject>
  <dc:creator/>
  <cp:keywords>Workflow Monitor, SQL Server, .NET, backend monitoring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