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Workflow Monitor — Product Overview</w:t>
      </w:r>
    </w:p>
    <w:p>
      <w:r>
        <w:t xml:space="preserve">Version 1.1.3. On-premises Windows application for monitoring backend and SQL Server workflows through a web dashboard, REST API and Worker Service.</w:t>
      </w:r>
    </w:p>
    <w:p>
      <w:pPr>
        <w:pStyle w:val="Heading1"/>
      </w:pPr>
      <w:r>
        <w:t xml:space="preserve">Plans and pricing</w:t>
      </w:r>
    </w:p>
    <w:tbl>
      <w:tblPr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B0B0B0"/>
          <w:insideV w:val="single" w:sz="4" w:color="B0B0B0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w="1800" w:type="dxa"/>
          </w:tcPr>
          <w:p>
            <w:r>
              <w:rPr>
                <w:b/>
              </w:rPr>
              <w:t xml:space="preserve">Plan</w:t>
            </w:r>
          </w:p>
        </w:tc>
        <w:tc>
          <w:tcPr>
            <w:tcW w:w="1800" w:type="dxa"/>
          </w:tcPr>
          <w:p>
            <w:r>
              <w:rPr>
                <w:b/>
              </w:rPr>
              <w:t xml:space="preserve">Price</w:t>
            </w:r>
          </w:p>
        </w:tc>
        <w:tc>
          <w:tcPr>
            <w:tcW w:w="1800" w:type="dxa"/>
          </w:tcPr>
          <w:p>
            <w:r>
              <w:rPr>
                <w:b/>
              </w:rPr>
              <w:t xml:space="preserve">Processes</w:t>
            </w:r>
          </w:p>
        </w:tc>
        <w:tc>
          <w:tcPr>
            <w:tcW w:w="1800" w:type="dxa"/>
          </w:tcPr>
          <w:p>
            <w:r>
              <w:rPr>
                <w:b/>
              </w:rPr>
              <w:t xml:space="preserve">Workers</w:t>
            </w:r>
          </w:p>
        </w:tc>
        <w:tc>
          <w:tcPr>
            <w:tcW w:w="1800" w:type="dxa"/>
          </w:tcPr>
          <w:p>
            <w:r>
              <w:rPr>
                <w:b/>
              </w:rPr>
              <w:t xml:space="preserve">Use</w:t>
            </w:r>
          </w:p>
        </w:tc>
      </w:tr>
      <w:tr>
        <w:tc>
          <w:tcPr>
            <w:tcW w:w="1800" w:type="dxa"/>
          </w:tcPr>
          <w:p>
            <w:r>
              <w:t xml:space="preserve">Demo</w:t>
            </w:r>
          </w:p>
        </w:tc>
        <w:tc>
          <w:tcPr>
            <w:tcW w:w="1800" w:type="dxa"/>
          </w:tcPr>
          <w:p>
            <w:r>
              <w:t xml:space="preserve">USD 0</w:t>
            </w:r>
          </w:p>
        </w:tc>
        <w:tc>
          <w:tcPr>
            <w:tcW w:w="1800" w:type="dxa"/>
          </w:tcPr>
          <w:p>
            <w:r>
              <w:t xml:space="preserve">Up to 3</w:t>
            </w:r>
          </w:p>
        </w:tc>
        <w:tc>
          <w:tcPr>
            <w:tcW w:w="1800" w:type="dxa"/>
          </w:tcPr>
          <w:p>
            <w:r>
              <w:t xml:space="preserve">1</w:t>
            </w:r>
          </w:p>
        </w:tc>
        <w:tc>
          <w:tcPr>
            <w:tcW w:w="1800" w:type="dxa"/>
          </w:tcPr>
          <w:p>
            <w:r>
              <w:t xml:space="preserve">30 days</w:t>
            </w:r>
          </w:p>
        </w:tc>
      </w:tr>
      <w:tr>
        <w:tc>
          <w:tcPr>
            <w:tcW w:w="1800" w:type="dxa"/>
          </w:tcPr>
          <w:p>
            <w:r>
              <w:t xml:space="preserve">Professional</w:t>
            </w:r>
          </w:p>
        </w:tc>
        <w:tc>
          <w:tcPr>
            <w:tcW w:w="1800" w:type="dxa"/>
          </w:tcPr>
          <w:p>
            <w:r>
              <w:t xml:space="preserve">USD 15/month | USD 149/year</w:t>
            </w:r>
          </w:p>
        </w:tc>
        <w:tc>
          <w:tcPr>
            <w:tcW w:w="1800" w:type="dxa"/>
          </w:tcPr>
          <w:p>
            <w:r>
              <w:t xml:space="preserve">Up to 25</w:t>
            </w:r>
          </w:p>
        </w:tc>
        <w:tc>
          <w:tcPr>
            <w:tcW w:w="1800" w:type="dxa"/>
          </w:tcPr>
          <w:p>
            <w:r>
              <w:t xml:space="preserve">Up to 5</w:t>
            </w:r>
          </w:p>
        </w:tc>
        <w:tc>
          <w:tcPr>
            <w:tcW w:w="1800" w:type="dxa"/>
          </w:tcPr>
          <w:p>
            <w:r>
              <w:t xml:space="preserve">1 installation</w:t>
            </w:r>
          </w:p>
        </w:tc>
      </w:tr>
      <w:tr>
        <w:tc>
          <w:tcPr>
            <w:tcW w:w="1800" w:type="dxa"/>
          </w:tcPr>
          <w:p>
            <w:r>
              <w:t xml:space="preserve">Enterprise</w:t>
            </w:r>
          </w:p>
        </w:tc>
        <w:tc>
          <w:tcPr>
            <w:tcW w:w="1800" w:type="dxa"/>
          </w:tcPr>
          <w:p>
            <w:r>
              <w:t xml:space="preserve">USD 39/month | USD 399/year</w:t>
            </w:r>
          </w:p>
        </w:tc>
        <w:tc>
          <w:tcPr>
            <w:tcW w:w="1800" w:type="dxa"/>
          </w:tcPr>
          <w:p>
            <w:r>
              <w:t xml:space="preserve">Up to 100</w:t>
            </w:r>
          </w:p>
        </w:tc>
        <w:tc>
          <w:tcPr>
            <w:tcW w:w="1800" w:type="dxa"/>
          </w:tcPr>
          <w:p>
            <w:r>
              <w:t xml:space="preserve">Up to 20</w:t>
            </w:r>
          </w:p>
        </w:tc>
        <w:tc>
          <w:tcPr>
            <w:tcW w:w="1800" w:type="dxa"/>
          </w:tcPr>
          <w:p>
            <w:r>
              <w:t xml:space="preserve">1 installation</w:t>
            </w:r>
          </w:p>
        </w:tc>
      </w:tr>
      <w:tr>
        <w:tc>
          <w:tcPr>
            <w:tcW w:w="1800" w:type="dxa"/>
          </w:tcPr>
          <w:p>
            <w:r>
              <w:t xml:space="preserve">Enterprise Custom</w:t>
            </w:r>
          </w:p>
        </w:tc>
        <w:tc>
          <w:tcPr>
            <w:tcW w:w="1800" w:type="dxa"/>
          </w:tcPr>
          <w:p>
            <w:r>
              <w:t xml:space="preserve">Contact</w:t>
            </w:r>
          </w:p>
        </w:tc>
        <w:tc>
          <w:tcPr>
            <w:tcW w:w="1800" w:type="dxa"/>
          </w:tcPr>
          <w:p>
            <w:r>
              <w:t xml:space="preserve">&gt;100</w:t>
            </w:r>
          </w:p>
        </w:tc>
        <w:tc>
          <w:tcPr>
            <w:tcW w:w="1800" w:type="dxa"/>
          </w:tcPr>
          <w:p>
            <w:r>
              <w:t xml:space="preserve">&gt;20</w:t>
            </w:r>
          </w:p>
        </w:tc>
        <w:tc>
          <w:tcPr>
            <w:tcW w:w="1800" w:type="dxa"/>
          </w:tcPr>
          <w:p>
            <w:r>
              <w:t xml:space="preserve">Custom</w:t>
            </w:r>
          </w:p>
        </w:tc>
      </w:tr>
    </w:tbl>
    <w:p>
      <w:pPr>
        <w:pStyle w:val="Heading1"/>
      </w:pPr>
      <w:r>
        <w:t xml:space="preserve">Included capabilities</w:t>
      </w:r>
    </w:p>
    <w:p>
      <w:r>
        <w:t xml:space="preserve">• Authenticated MVC dashboard and REST API.</w:t>
      </w:r>
    </w:p>
    <w:p>
      <w:r>
        <w:t xml:space="preserve">• History, states, duration, metrics, errors and stale-execution detection.</w:t>
      </w:r>
    </w:p>
    <w:p>
      <w:r>
        <w:t xml:space="preserve">• Worker Service, SQL Server integration and CSV export.</w:t>
      </w:r>
    </w:p>
    <w:p>
      <w:r>
        <w:t xml:space="preserve">• API keys, administrator authentication and offline signed-license validation.</w:t>
      </w:r>
    </w:p>
    <w:p>
      <w:r>
        <w:t xml:space="preserve">• Spanish and English interface.</w:t>
      </w:r>
    </w:p>
    <w:p>
      <w:pPr>
        <w:pStyle w:val="Heading1"/>
      </w:pPr>
      <w:r>
        <w:t xml:space="preserve">Billing</w:t>
      </w:r>
    </w:p>
    <w:p>
      <w:r>
        <w:t xml:space="preserve">• Customers can choose monthly or annual billing.</w:t>
      </w:r>
    </w:p>
    <w:p>
      <w:r>
        <w:t xml:space="preserve">• Annual billing is discounted compared with twelve monthly payments.</w:t>
      </w:r>
    </w:p>
    <w:p>
      <w:r>
        <w:t xml:space="preserve">• Professional and Enterprise use the same functional core; licensed capacity is different.</w:t>
      </w:r>
    </w:p>
    <w:p>
      <w:pPr>
        <w:pStyle w:val="Heading1"/>
      </w:pPr>
      <w:r>
        <w:t xml:space="preserve">License model</w:t>
      </w:r>
    </w:p>
    <w:p>
      <w:r>
        <w:t xml:space="preserve">• Each commercial license is tied to a specific installation.</w:t>
      </w:r>
    </w:p>
    <w:p>
      <w:r>
        <w:t xml:space="preserve">• The license defines edition, expiration, maximum processes and maximum Workers/integrations.</w:t>
      </w:r>
    </w:p>
    <w:p>
      <w:r>
        <w:t xml:space="preserve">• Monthly and annual billing use the same executable; only the license period changes.</w:t>
      </w:r>
    </w:p>
    <w:p>
      <w:pPr>
        <w:pStyle w:val="Heading1"/>
      </w:pPr>
      <w:r>
        <w:t xml:space="preserve">Purchase</w:t>
      </w:r>
    </w:p>
    <w:p>
      <w:r>
        <w:t xml:space="preserve">• Monthly and annual payment will be integrated with Mercado Pago and validated first in Mercado Pago Developer.</w:t>
      </w:r>
    </w:p>
    <w:p>
      <w:r>
        <w:t xml:space="preserve">• Contact: contacto@federicostimpfl.com.ar</w:t>
      </w:r>
    </w:p>
    <w:sectPr>
      <w:pgSz w:w="11906" w:h="16838"/>
      <w:pgMar w:top="1000" w:right="900" w:bottom="1000" w:left="900" w:header="0" w:footer="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0"/>
      <w:szCs w:val="20"/>
    </w:rPr>
  </w:style>
  <w:style w:type="paragraph" w:styleId="Title">
    <w:name w:val="Title"/>
    <w:basedOn w:val="Normal"/>
    <w:pPr>
      <w:jc w:val="center"/>
      <w:spacing w:after="240"/>
    </w:pPr>
    <w:rPr>
      <w:b/>
      <w:rFonts w:ascii="Arial" w:hAnsi="Arial"/>
      <w:sz w:val="36"/>
      <w:szCs w:val="36"/>
    </w:rPr>
  </w:style>
  <w:style w:type="paragraph" w:styleId="Heading1">
    <w:name w:val="heading 1"/>
    <w:basedOn w:val="Normal"/>
    <w:pPr>
      <w:spacing w:before="240" w:after="100"/>
    </w:pPr>
    <w:rPr>
      <w:b/>
      <w:color w:val="2F5597"/>
      <w:sz w:val="28"/>
      <w:szCs w:val="2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