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workflow-monitor-mark.png"/>
                    <pic:cNvPicPr/>
                  </pic:nvPicPr>
                  <pic:blipFill>
                    <a:blip r:embed="rId9"/>
                    <a:stretch>
                      <a:fillRect/>
                    </a:stretch>
                  </pic:blipFill>
                  <pic:spPr>
                    <a:xfrm>
                      <a:off x="0" y="0"/>
                      <a:ext cx="566928" cy="566928"/>
                    </a:xfrm>
                    <a:prstGeom prst="rect"/>
                  </pic:spPr>
                </pic:pic>
              </a:graphicData>
            </a:graphic>
          </wp:inline>
        </w:drawing>
      </w:r>
    </w:p>
    <w:p>
      <w:pPr>
        <w:jc w:val="center"/>
      </w:pPr>
      <w:r>
        <w:rPr>
          <w:b/>
          <w:color w:val="0B2C64"/>
          <w:sz w:val="48"/>
        </w:rPr>
        <w:t>Workflow Monitor</w:t>
      </w:r>
    </w:p>
    <w:p>
      <w:pPr>
        <w:jc w:val="center"/>
      </w:pPr>
      <w:r>
        <w:rPr>
          <w:color w:val="1463F3"/>
          <w:sz w:val="28"/>
        </w:rPr>
        <w:t>Manual de instalación y uso</w:t>
      </w:r>
    </w:p>
    <w:p>
      <w:pPr>
        <w:jc w:val="center"/>
      </w:pPr>
      <w:r>
        <w:rPr>
          <w:color w:val="5A5A5A"/>
          <w:sz w:val="19"/>
        </w:rPr>
        <w:t>Versión 1.1.2 · Septiembre de 2026</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Producto</w:t>
            </w:r>
          </w:p>
        </w:tc>
        <w:tc>
          <w:tcPr>
            <w:tcW w:type="dxa" w:w="5040"/>
          </w:tcPr>
          <w:p>
            <w:r>
              <w:t>Workflow Monitor</w:t>
            </w:r>
          </w:p>
        </w:tc>
      </w:tr>
      <w:tr>
        <w:tc>
          <w:tcPr>
            <w:tcW w:type="dxa" w:w="5040"/>
          </w:tcPr>
          <w:p>
            <w:r>
              <w:t>Nombre técnico de la solución</w:t>
            </w:r>
          </w:p>
        </w:tc>
        <w:tc>
          <w:tcPr>
            <w:tcW w:type="dxa" w:w="5040"/>
          </w:tcPr>
          <w:p>
            <w:r>
              <w:t>SqlWorkflowMonitor</w:t>
            </w:r>
          </w:p>
        </w:tc>
      </w:tr>
      <w:tr>
        <w:tc>
          <w:tcPr>
            <w:tcW w:type="dxa" w:w="5040"/>
          </w:tcPr>
          <w:p>
            <w:r>
              <w:t>Versión</w:t>
            </w:r>
          </w:p>
        </w:tc>
        <w:tc>
          <w:tcPr>
            <w:tcW w:type="dxa" w:w="5040"/>
          </w:tcPr>
          <w:p>
            <w:r>
              <w:t>1.1.2</w:t>
            </w:r>
          </w:p>
        </w:tc>
      </w:tr>
      <w:tr>
        <w:tc>
          <w:tcPr>
            <w:tcW w:type="dxa" w:w="5040"/>
          </w:tcPr>
          <w:p>
            <w:r>
              <w:t>Plataforma</w:t>
            </w:r>
          </w:p>
        </w:tc>
        <w:tc>
          <w:tcPr>
            <w:tcW w:type="dxa" w:w="5040"/>
          </w:tcPr>
          <w:p>
            <w:r>
              <w:t>Windows x64</w:t>
            </w:r>
          </w:p>
        </w:tc>
      </w:tr>
      <w:tr>
        <w:tc>
          <w:tcPr>
            <w:tcW w:type="dxa" w:w="5040"/>
          </w:tcPr>
          <w:p>
            <w:r>
              <w:t>Runtime</w:t>
            </w:r>
          </w:p>
        </w:tc>
        <w:tc>
          <w:tcPr>
            <w:tcW w:type="dxa" w:w="5040"/>
          </w:tcPr>
          <w:p>
            <w:r>
              <w:t>.NET 10 self-contained</w:t>
            </w:r>
          </w:p>
        </w:tc>
      </w:tr>
      <w:tr>
        <w:tc>
          <w:tcPr>
            <w:tcW w:type="dxa" w:w="5040"/>
          </w:tcPr>
          <w:p>
            <w:r>
              <w:t>Base de datos</w:t>
            </w:r>
          </w:p>
        </w:tc>
        <w:tc>
          <w:tcPr>
            <w:tcW w:type="dxa" w:w="5040"/>
          </w:tcPr>
          <w:p>
            <w:r>
              <w:t>SQL Server</w:t>
            </w:r>
          </w:p>
        </w:tc>
      </w:tr>
      <w:tr>
        <w:tc>
          <w:tcPr>
            <w:tcW w:type="dxa" w:w="5040"/>
          </w:tcPr>
          <w:p>
            <w:r>
              <w:t>Arquitectura</w:t>
            </w:r>
          </w:p>
        </w:tc>
        <w:tc>
          <w:tcPr>
            <w:tcW w:type="dxa" w:w="5040"/>
          </w:tcPr>
          <w:p>
            <w:r>
              <w:t>Web/API + Worker Service + SQL Server</w:t>
            </w:r>
          </w:p>
        </w:tc>
      </w:tr>
    </w:tbl>
    <w:p/>
    <w:p>
      <w:pPr>
        <w:pStyle w:val="Heading1"/>
      </w:pPr>
      <w:r>
        <w:t>1. Alcance del producto</w:t>
      </w:r>
    </w:p>
    <w:p>
      <w:r>
        <w:t>Workflow Monitor registra, monitorea y permite revisar ejecuciones de procesos backend y workflows respaldados por SQL. El paquete para Windows ejecuta un servicio Web/API y un Worker y almacena la información operativa en SQL Server.</w:t>
      </w:r>
    </w:p>
    <w:p>
      <w:pPr>
        <w:pStyle w:val="Heading1"/>
      </w:pPr>
      <w:r>
        <w:t>2. Edición Demo</w:t>
      </w:r>
    </w:p>
    <w:p>
      <w:pPr>
        <w:pStyle w:val="ListBullet"/>
      </w:pPr>
      <w:r>
        <w:t>Evaluación técnica por 30 días.</w:t>
      </w:r>
    </w:p>
    <w:p>
      <w:pPr>
        <w:pStyle w:val="ListBullet"/>
      </w:pPr>
      <w:r>
        <w:t>Hasta 3 procesos registrados.</w:t>
      </w:r>
    </w:p>
    <w:p>
      <w:pPr>
        <w:pStyle w:val="ListBullet"/>
      </w:pPr>
      <w:r>
        <w:t>1 Worker/integración.</w:t>
      </w:r>
    </w:p>
    <w:p>
      <w:pPr>
        <w:pStyle w:val="ListBullet"/>
      </w:pPr>
      <w:r>
        <w:t>Dashboard real, API REST y procesamiento real.</w:t>
      </w:r>
    </w:p>
    <w:p>
      <w:pPr>
        <w:pStyle w:val="ListBullet"/>
      </w:pPr>
      <w:r>
        <w:t>Acceso de solo lectura a la información registrada después del vencimiento.</w:t>
      </w:r>
    </w:p>
    <w:p>
      <w:pPr>
        <w:pStyle w:val="ListBullet"/>
      </w:pPr>
      <w:r>
        <w:t>Interfaz en español e inglés.</w:t>
      </w:r>
    </w:p>
    <w:p>
      <w:pPr>
        <w:pStyle w:val="Heading1"/>
      </w:pPr>
      <w:r>
        <w:t>3. Requisitos</w:t>
      </w:r>
    </w:p>
    <w:p>
      <w:pPr>
        <w:pStyle w:val="ListBullet"/>
      </w:pPr>
      <w:r>
        <w:t>Windows x64.</w:t>
      </w:r>
    </w:p>
    <w:p>
      <w:pPr>
        <w:pStyle w:val="ListBullet"/>
      </w:pPr>
      <w:r>
        <w:t>Una instancia de SQL Server local o accesible.</w:t>
      </w:r>
    </w:p>
    <w:p>
      <w:pPr>
        <w:pStyle w:val="ListBullet"/>
      </w:pPr>
      <w:r>
        <w:t>El usuario de Windows que instala debe poder crear la base SqlWorkflowMonitor.</w:t>
      </w:r>
    </w:p>
    <w:p>
      <w:pPr>
        <w:pStyle w:val="ListBullet"/>
      </w:pPr>
      <w:r>
        <w:t>Permisos de Administrador para instalar servicios de Windows.</w:t>
      </w:r>
    </w:p>
    <w:p>
      <w:pPr>
        <w:pStyle w:val="ListBullet"/>
      </w:pPr>
      <w:r>
        <w:t>Un navegador moderno.</w:t>
      </w:r>
    </w:p>
    <w:p>
      <w:pPr>
        <w:pStyle w:val="ListBullet"/>
      </w:pPr>
      <w:r>
        <w:t>La Demo empaquetada no requiere instalar .NET por separado.</w:t>
      </w:r>
    </w:p>
    <w:p>
      <w:pPr>
        <w:pStyle w:val="Heading1"/>
      </w:pPr>
      <w:r>
        <w:t>4. Instalación</w:t>
      </w:r>
    </w:p>
    <w:p>
      <w:pPr>
        <w:pStyle w:val="ListNumber"/>
      </w:pPr>
      <w:r>
        <w:t>Descargue el ZIP de la Demo y su checksum SHA-256 desde la Release oficial de Workflow Monitor en GitHub.</w:t>
      </w:r>
    </w:p>
    <w:p>
      <w:pPr>
        <w:pStyle w:val="ListNumber"/>
      </w:pPr>
      <w:r>
        <w:t>Verifique el checksum cuando sea posible.</w:t>
      </w:r>
    </w:p>
    <w:p>
      <w:pPr>
        <w:pStyle w:val="ListNumber"/>
      </w:pPr>
      <w:r>
        <w:t>Extraiga todo el ZIP en una carpeta local temporal.</w:t>
      </w:r>
    </w:p>
    <w:p>
      <w:pPr>
        <w:pStyle w:val="ListNumber"/>
      </w:pPr>
      <w:r>
        <w:t>Ejecute WorkflowMonitorSetup.exe.</w:t>
      </w:r>
    </w:p>
    <w:p>
      <w:pPr>
        <w:pStyle w:val="ListNumber"/>
      </w:pPr>
      <w:r>
        <w:t>Indique la instancia de SQL Server. Use . para la instancia local predeterminada.</w:t>
      </w:r>
    </w:p>
    <w:p>
      <w:pPr>
        <w:pStyle w:val="ListNumber"/>
      </w:pPr>
      <w:r>
        <w:t>El usuario administrador es admin. Defina y repita una contraseña de al menos 12 caracteres.</w:t>
      </w:r>
    </w:p>
    <w:p>
      <w:pPr>
        <w:pStyle w:val="ListNumber"/>
      </w:pPr>
      <w:r>
        <w:t>Presione Instalar y acepte el permiso de Administrador de Windows.</w:t>
      </w:r>
    </w:p>
    <w:p>
      <w:pPr>
        <w:pStyle w:val="ListNumber"/>
      </w:pPr>
      <w:r>
        <w:t>Espere a que finalicen todas las etapas de instalación.</w:t>
      </w:r>
    </w:p>
    <w:p>
      <w:pPr>
        <w:pStyle w:val="ListNumber"/>
      </w:pPr>
      <w:r>
        <w:t>Deje marcada la opción “Abrir Workflow Monitor ahora” y presione Finalizar.</w:t>
      </w:r>
    </w:p>
    <w:p>
      <w:r>
        <w:t>Ubicación de instalación: C:\Program Files\Workflow Monitor</w:t>
      </w:r>
    </w:p>
    <w:p>
      <w:r>
        <w:t>URL local de acceso: http://127.0.0.1:5080/account/login</w:t>
      </w:r>
    </w:p>
    <w:p>
      <w:pPr>
        <w:pStyle w:val="Heading1"/>
      </w:pPr>
      <w:r>
        <w:t>5. Componentes instalados</w:t>
      </w:r>
    </w:p>
    <w:p>
      <w:pPr>
        <w:pStyle w:val="ListBullet"/>
      </w:pPr>
      <w:r>
        <w:t>Servicio de Windows: SqlWorkflowMonitor Web.</w:t>
      </w:r>
    </w:p>
    <w:p>
      <w:pPr>
        <w:pStyle w:val="ListBullet"/>
      </w:pPr>
      <w:r>
        <w:t>Servicio de Windows: SqlWorkflowMonitor Worker.</w:t>
      </w:r>
    </w:p>
    <w:p>
      <w:pPr>
        <w:pStyle w:val="ListBullet"/>
      </w:pPr>
      <w:r>
        <w:t>Base SQL Server: SqlWorkflowMonitor.</w:t>
      </w:r>
    </w:p>
    <w:p>
      <w:pPr>
        <w:pStyle w:val="ListBullet"/>
      </w:pPr>
      <w:r>
        <w:t>Raíz de datos operativos: C:\SqlWorkflowMonitor\Data.</w:t>
      </w:r>
    </w:p>
    <w:p>
      <w:pPr>
        <w:pStyle w:val="ListBullet"/>
      </w:pPr>
      <w:r>
        <w:t>Identidad visual actual y desinstalador gráfico.</w:t>
      </w:r>
    </w:p>
    <w:p>
      <w:pPr>
        <w:pStyle w:val="Heading1"/>
      </w:pPr>
      <w:r>
        <w:t>6. Procesamiento de ejemplo</w:t>
      </w:r>
    </w:p>
    <w:p>
      <w:r>
        <w:t>El instalador crea un archivo reutilizable en C:\SqlWorkflowMonitor\Data\Samples\customers.csv. Cópielo a C:\SqlWorkflowMonitor\Data\Input\customers.csv para ejecutar el ejemplo.</w:t>
      </w:r>
    </w:p>
    <w:p>
      <w:r>
        <w:t>El Worker de la Demo revisa la carpeta de entrada cada 60 segundos, por lo que la detección puede demorar hasta aproximadamente un minuto. El procesamiento comienza inmediatamente después de detectar el archivo.</w:t>
      </w:r>
    </w:p>
    <w:tbl>
      <w:tblPr>
        <w:tblStyle w:val="TableGrid"/>
        <w:tblW w:type="auto" w:w="0"/>
        <w:jc w:val="center"/>
        <w:tblLook w:firstColumn="1" w:firstRow="1" w:lastColumn="0" w:lastRow="0" w:noHBand="0" w:noVBand="1" w:val="04A0"/>
      </w:tblPr>
      <w:tblGrid>
        <w:gridCol w:w="5040"/>
        <w:gridCol w:w="5040"/>
      </w:tblGrid>
      <w:tr>
        <w:tc>
          <w:tcPr>
            <w:tcW w:type="dxa" w:w="5040"/>
            <w:shd w:fill="0B2C64"/>
            <w:vAlign w:val="center"/>
          </w:tcPr>
          <w:p>
            <w:r>
              <w:rPr>
                <w:b/>
                <w:color w:val="FFFFFF"/>
              </w:rPr>
              <w:t>Item</w:t>
            </w:r>
          </w:p>
        </w:tc>
        <w:tc>
          <w:tcPr>
            <w:tcW w:type="dxa" w:w="5040"/>
            <w:shd w:fill="0B2C64"/>
            <w:vAlign w:val="center"/>
          </w:tcPr>
          <w:p>
            <w:r>
              <w:rPr>
                <w:b/>
                <w:color w:val="FFFFFF"/>
              </w:rPr>
              <w:t>Value</w:t>
            </w:r>
          </w:p>
        </w:tc>
      </w:tr>
      <w:tr>
        <w:tc>
          <w:tcPr>
            <w:tcW w:type="dxa" w:w="5040"/>
          </w:tcPr>
          <w:p>
            <w:r>
              <w:t>Proceso</w:t>
            </w:r>
          </w:p>
        </w:tc>
        <w:tc>
          <w:tcPr>
            <w:tcW w:type="dxa" w:w="5040"/>
          </w:tcPr>
          <w:p>
            <w:r>
              <w:t>Importación de clientes</w:t>
            </w:r>
          </w:p>
        </w:tc>
      </w:tr>
      <w:tr>
        <w:tc>
          <w:tcPr>
            <w:tcW w:type="dxa" w:w="5040"/>
          </w:tcPr>
          <w:p>
            <w:r>
              <w:t>Total</w:t>
            </w:r>
          </w:p>
        </w:tc>
        <w:tc>
          <w:tcPr>
            <w:tcW w:type="dxa" w:w="5040"/>
          </w:tcPr>
          <w:p>
            <w:r>
              <w:t>3</w:t>
            </w:r>
          </w:p>
        </w:tc>
      </w:tr>
      <w:tr>
        <w:tc>
          <w:tcPr>
            <w:tcW w:type="dxa" w:w="5040"/>
          </w:tcPr>
          <w:p>
            <w:r>
              <w:t>Correctos</w:t>
            </w:r>
          </w:p>
        </w:tc>
        <w:tc>
          <w:tcPr>
            <w:tcW w:type="dxa" w:w="5040"/>
          </w:tcPr>
          <w:p>
            <w:r>
              <w:t>2</w:t>
            </w:r>
          </w:p>
        </w:tc>
      </w:tr>
      <w:tr>
        <w:tc>
          <w:tcPr>
            <w:tcW w:type="dxa" w:w="5040"/>
          </w:tcPr>
          <w:p>
            <w:r>
              <w:t>Incorrectos</w:t>
            </w:r>
          </w:p>
        </w:tc>
        <w:tc>
          <w:tcPr>
            <w:tcW w:type="dxa" w:w="5040"/>
          </w:tcPr>
          <w:p>
            <w:r>
              <w:t>1</w:t>
            </w:r>
          </w:p>
        </w:tc>
      </w:tr>
      <w:tr>
        <w:tc>
          <w:tcPr>
            <w:tcW w:type="dxa" w:w="5040"/>
          </w:tcPr>
          <w:p>
            <w:r>
              <w:t>Filas afectadas</w:t>
            </w:r>
          </w:p>
        </w:tc>
        <w:tc>
          <w:tcPr>
            <w:tcW w:type="dxa" w:w="5040"/>
          </w:tcPr>
          <w:p>
            <w:r>
              <w:t>2</w:t>
            </w:r>
          </w:p>
        </w:tc>
      </w:tr>
    </w:tbl>
    <w:p/>
    <w:p>
      <w:pPr>
        <w:pStyle w:val="Heading1"/>
      </w:pPr>
      <w:r>
        <w:t>7. Dashboard y datos de ejecución</w:t>
      </w:r>
    </w:p>
    <w:p>
      <w:pPr>
        <w:pStyle w:val="ListBullet"/>
      </w:pPr>
      <w:r>
        <w:t>Estado e historial de ejecuciones.</w:t>
      </w:r>
    </w:p>
    <w:p>
      <w:pPr>
        <w:pStyle w:val="ListBullet"/>
      </w:pPr>
      <w:r>
        <w:t>Inicio, finalización y duración.</w:t>
      </w:r>
    </w:p>
    <w:p>
      <w:pPr>
        <w:pStyle w:val="ListBullet"/>
      </w:pPr>
      <w:r>
        <w:t>Totales de procesamiento y filas afectadas.</w:t>
      </w:r>
    </w:p>
    <w:p>
      <w:pPr>
        <w:pStyle w:val="ListBullet"/>
      </w:pPr>
      <w:r>
        <w:t>Información de errores.</w:t>
      </w:r>
    </w:p>
    <w:p>
      <w:pPr>
        <w:pStyle w:val="ListBullet"/>
      </w:pPr>
      <w:r>
        <w:t>Filtros, ordenamiento, paginación y exportación CSV.</w:t>
      </w:r>
    </w:p>
    <w:p>
      <w:pPr>
        <w:pStyle w:val="ListBullet"/>
      </w:pPr>
      <w:r>
        <w:t>Detección de ejecuciones demoradas.</w:t>
      </w:r>
    </w:p>
    <w:p>
      <w:pPr>
        <w:pStyle w:val="Heading1"/>
      </w:pPr>
      <w:r>
        <w:t>8. Seguridad y configuración local</w:t>
      </w:r>
    </w:p>
    <w:p>
      <w:r>
        <w:t>Durante la instalación se genera una API key aleatoria y el hash/salt PBKDF2-SHA-256 de la contraseña del administrador. Las plantillas del paquete no contienen contraseñas reales, API keys reales, claves privadas de firma ni licencias de clientes.</w:t>
      </w:r>
    </w:p>
    <w:p>
      <w:r>
        <w:t>La configuración Web predeterminada escucha solamente en loopback. Cualquier exposición remota requiere HTTPS controlado y restricciones de red adecuadas.</w:t>
      </w:r>
    </w:p>
    <w:p>
      <w:pPr>
        <w:pStyle w:val="Heading1"/>
      </w:pPr>
      <w:r>
        <w:t>9. Desinstalación</w:t>
      </w:r>
    </w:p>
    <w:p>
      <w:pPr>
        <w:pStyle w:val="ListNumber"/>
      </w:pPr>
      <w:r>
        <w:t>Abra Aplicaciones instaladas de Windows y seleccione Workflow Monitor Demo, o ejecute C:\Program Files\Workflow Monitor\WorkflowMonitorUninstall.exe.</w:t>
      </w:r>
    </w:p>
    <w:p>
      <w:pPr>
        <w:pStyle w:val="ListNumber"/>
      </w:pPr>
      <w:r>
        <w:t>Confirme la instancia de SQL Server mostrada por el desinstalador.</w:t>
      </w:r>
    </w:p>
    <w:p>
      <w:pPr>
        <w:pStyle w:val="ListNumber"/>
      </w:pPr>
      <w:r>
        <w:t>Elija si desea conservar o eliminar la base SqlWorkflowMonitor.</w:t>
      </w:r>
    </w:p>
    <w:p>
      <w:pPr>
        <w:pStyle w:val="ListNumber"/>
      </w:pPr>
      <w:r>
        <w:t>Complete la desinstalación. Se eliminan los servicios Web y Worker y los archivos instalados.</w:t>
      </w:r>
    </w:p>
    <w:p>
      <w:pPr>
        <w:pStyle w:val="Heading1"/>
      </w:pPr>
      <w:r>
        <w:t>10. SmartScreen e integridad del paquete</w:t>
      </w:r>
    </w:p>
    <w:p>
      <w:r>
        <w:t>La versión 1.1.2 se distribuye sin una firma Authenticode de editor confiable, por lo que Microsoft Defender SmartScreen puede mostrar una advertencia de “aplicación no reconocida”. Es un tema de firma/reputación de distribución, no un error funcional de la aplicación. Use únicamente el asset oficial y verifique su checksum SHA-256.</w:t>
      </w:r>
    </w:p>
    <w:p>
      <w:pPr>
        <w:pStyle w:val="Heading1"/>
      </w:pPr>
      <w:r>
        <w:t>11. Ediciones comerciales</w:t>
      </w:r>
    </w:p>
    <w:p>
      <w:r>
        <w:t>Professional y Enterprise utilizan el mismo núcleo de monitoreo con límites licenciados y configuración orientada a producción. Los paquetes comerciales se distribuyen por separado con licencias firmadas específicas para cada cliente.</w:t>
      </w:r>
    </w:p>
    <w:p>
      <w:pPr>
        <w:pStyle w:val="Heading1"/>
      </w:pPr>
      <w:r>
        <w:t>12. Soporte y diagnóstico seguro</w:t>
      </w:r>
    </w:p>
    <w:p>
      <w:r>
        <w:t>Al reportar un problema, elimine contraseñas, API keys, credenciales de cadenas de conexión, datos de clientes, identificadores de producción y logs sensibles. Incluya únicamente información sanitizada para reproducir el problema.</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Workflow Monitor 1.1.2  |  github.com/stimpfldev/WorkflowMonitor  |  federicostimpfl.com.ar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B2C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C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Monitor</dc:title>
  <dc:subject>Workflow Monitor 1.1.2 public documentation</dc:subject>
  <dc:creator/>
  <cp:keywords>Workflow Monitor, SQL Server, .NET, backend monitoring</cp:keywords>
  <dc:description>generated by python-docx</dc:description>
  <cp:lastModifiedBy/>
  <cp:revision>1</cp:revision>
  <dcterms:created xsi:type="dcterms:W3CDTF">2013-12-23T23:15:00Z</dcterms:created>
  <dcterms:modified xsi:type="dcterms:W3CDTF">2013-12-23T23:15:00Z</dcterms:modified>
  <cp:category/>
</cp:coreProperties>
</file>