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Arial" w:hAnsi="Arial"/>
          <w:b/>
          <w:color w:val="1267E5"/>
          <w:sz w:val="20"/>
        </w:rPr>
        <w:t>MANUAL DE INSTALACIÓN Y OPERACIÓN</w:t>
      </w:r>
    </w:p>
    <w:p>
      <w:pPr>
        <w:pStyle w:val="Title"/>
        <w:spacing w:before="200" w:after="160"/>
      </w:pPr>
      <w:r>
        <w:t>SqlWorkflowMonitor</w:t>
      </w:r>
    </w:p>
    <w:p>
      <w:pPr>
        <w:spacing w:after="280"/>
      </w:pPr>
      <w:r>
        <w:rPr>
          <w:rFonts w:ascii="Arial" w:hAnsi="Arial"/>
          <w:color w:val="24364B"/>
          <w:sz w:val="36"/>
        </w:rPr>
        <w:t>Guía para instalar, licenciar, configurar y operar la versión 1.1.0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Version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Documentación 1.1.0 | Windows x64 | Julio de 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0233F"/>
                <w:sz w:val="18"/>
              </w:rPr>
              <w:t>Seguridad 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El dashboard está protegido mediante una cuenta de administrador local y los endpoints protegidos de la API requieren una API key para el Worker y las integraciones externas. No exponga la aplicación directamente a Internet. Mantenga el acceso en localhost o en una red privada controlada, restrinja el firewall, proteja las credenciales y aplique controles de acceso de infraestructura.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b/>
          <w:color w:val="10233F"/>
          <w:sz w:val="18"/>
        </w:rPr>
        <w:t>.NET 10  |  SQL Server  |  REST API  |  Windows Services  |  Offline licensing</w:t>
      </w:r>
    </w:p>
    <w:p>
      <w:r>
        <w:br w:type="page"/>
      </w:r>
    </w:p>
    <w:p>
      <w:pPr>
        <w:pStyle w:val="Heading1"/>
      </w:pPr>
      <w:r>
        <w:t>1. Alcance y arquitectura</w:t>
      </w:r>
    </w:p>
    <w:p>
      <w:r>
        <w:rPr>
          <w:rFonts w:ascii="Arial" w:hAnsi="Arial"/>
          <w:i w:val="0"/>
        </w:rPr>
        <w:t>SqlWorkflowMonitor registra y muestra el ciclo de vida de procesos backend: inicio, finalización, estado, duración, métricas y errores. La distribución 1.1.0 incluye una aplicación Web, un Worker de ejemplo, una base SQL Server, licenciamiento offline y scripts para instalar ambos ejecutables como servicios de Windows.</w:t>
      </w:r>
    </w:p>
    <w:p>
      <w:pPr>
        <w:pStyle w:val="ListBullet"/>
        <w:spacing w:after="40"/>
      </w:pPr>
      <w:r>
        <w:rPr>
          <w:rFonts w:ascii="Arial" w:hAnsi="Arial"/>
        </w:rPr>
        <w:t>Dashboard bilingüe para consultar ejecuciones, indicadores, atrasos y detalles.</w:t>
      </w:r>
    </w:p>
    <w:p>
      <w:pPr>
        <w:pStyle w:val="ListBullet"/>
        <w:spacing w:after="40"/>
      </w:pPr>
      <w:r>
        <w:rPr>
          <w:rFonts w:ascii="Arial" w:hAnsi="Arial"/>
        </w:rPr>
        <w:t>API REST para iniciar, finalizar y consultar ejecuciones.</w:t>
      </w:r>
    </w:p>
    <w:p>
      <w:pPr>
        <w:pStyle w:val="ListBullet"/>
        <w:spacing w:after="40"/>
      </w:pPr>
      <w:r>
        <w:rPr>
          <w:rFonts w:ascii="Arial" w:hAnsi="Arial"/>
        </w:rPr>
        <w:t>Worker de ejemplo para procesar archivos CSV de clientes.</w:t>
      </w:r>
    </w:p>
    <w:p>
      <w:pPr>
        <w:pStyle w:val="ListBullet"/>
        <w:spacing w:after="40"/>
      </w:pPr>
      <w:r>
        <w:rPr>
          <w:rFonts w:ascii="Arial" w:hAnsi="Arial"/>
        </w:rPr>
        <w:t>SQL Server como almacenamiento y capa de consistencia.</w:t>
      </w:r>
    </w:p>
    <w:p>
      <w:pPr>
        <w:pStyle w:val="ListBullet"/>
        <w:spacing w:after="40"/>
      </w:pPr>
      <w:r>
        <w:rPr>
          <w:rFonts w:ascii="Arial" w:hAnsi="Arial"/>
        </w:rPr>
        <w:t>Licencias Demo, Professional y Enterprise sin conexión a Internet.</w:t>
      </w:r>
    </w:p>
    <w:p>
      <w:pPr>
        <w:pStyle w:val="Heading1"/>
      </w:pPr>
      <w:r>
        <w:t>2. Conceptos básicos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Concepto</w:t>
            </w:r>
          </w:p>
        </w:tc>
        <w:tc>
          <w:tcPr>
            <w:tcW w:type="dxa" w:w="748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Significado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Proceso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Tipo de trabajo monitoreado, por ejemplo una importación o un cierre batch.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Ejecución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Una corrida individual de un proceso.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Worker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Servicio o integración que inicia y finaliza ejecuciones mediante la API.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Running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comenzó y todavía no fue finalizada.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Succeeded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terminó correctamente.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Failed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terminó con error y debe incluir un mensaje.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Cancelled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fue cancelada antes de completarse.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Atrasada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Ejecución Running que superó el umbral configurado.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InstallationId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Identificador estable utilizado para vincular una licencia comercial a una instalación.</w:t>
            </w:r>
          </w:p>
        </w:tc>
      </w:tr>
    </w:tbl>
    <w:p>
      <w:pPr>
        <w:spacing w:after="0"/>
      </w:pPr>
    </w:p>
    <w:p>
      <w:pPr>
        <w:pStyle w:val="Heading1"/>
      </w:pPr>
      <w:r>
        <w:t>3. Requisitos</w:t>
      </w:r>
    </w:p>
    <w:p>
      <w:pPr>
        <w:pStyle w:val="ListBullet"/>
        <w:spacing w:after="40"/>
      </w:pPr>
      <w:r>
        <w:rPr>
          <w:rFonts w:ascii="Arial" w:hAnsi="Arial"/>
        </w:rPr>
        <w:t>Windows x64 compatible con servicios de Windows.</w:t>
      </w:r>
    </w:p>
    <w:p>
      <w:pPr>
        <w:pStyle w:val="ListBullet"/>
        <w:spacing w:after="40"/>
      </w:pPr>
      <w:r>
        <w:rPr>
          <w:rFonts w:ascii="Arial" w:hAnsi="Arial"/>
        </w:rPr>
        <w:t>SQL Server LocalDB, Developer, Standard, Enterprise u otra edición compatible.</w:t>
      </w:r>
    </w:p>
    <w:p>
      <w:pPr>
        <w:pStyle w:val="ListBullet"/>
        <w:spacing w:after="40"/>
      </w:pPr>
      <w:r>
        <w:rPr>
          <w:rFonts w:ascii="Arial" w:hAnsi="Arial"/>
        </w:rPr>
        <w:t>SSMS u otro cliente SQL para ejecutar Database\Install.sql.</w:t>
      </w:r>
    </w:p>
    <w:p>
      <w:pPr>
        <w:pStyle w:val="ListBullet"/>
        <w:spacing w:after="40"/>
      </w:pPr>
      <w:r>
        <w:rPr>
          <w:rFonts w:ascii="Arial" w:hAnsi="Arial"/>
        </w:rPr>
        <w:t>Permisos de administrador local para registrar servicios.</w:t>
      </w:r>
    </w:p>
    <w:p>
      <w:pPr>
        <w:pStyle w:val="ListBullet"/>
        <w:spacing w:after="40"/>
      </w:pPr>
      <w:r>
        <w:rPr>
          <w:rFonts w:ascii="Arial" w:hAnsi="Arial"/>
        </w:rPr>
        <w:t>Una cuenta de servicio con acceso a la base SqlWorkflowMonitor.</w:t>
      </w:r>
    </w:p>
    <w:p>
      <w:pPr>
        <w:pStyle w:val="ListBullet"/>
        <w:spacing w:after="40"/>
      </w:pPr>
      <w:r>
        <w:rPr>
          <w:rFonts w:ascii="Arial" w:hAnsi="Arial"/>
        </w:rPr>
        <w:t>No se requiere Visual Studio, .NET SDK ni runtime .NET: Web y Worker son self-contained.</w:t>
      </w: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</w:t>
      </w:r>
    </w:p>
    <w:p>
      <w:pPr>
        <w:pStyle w:val="Heading1"/>
        <w:spacing w:before="80"/>
      </w:pPr>
      <w:r>
        <w:t>Preparación e instalación</w:t>
      </w:r>
    </w:p>
    <w:p/>
    <w:p>
      <w:pPr>
        <w:pStyle w:val="Heading1"/>
      </w:pPr>
      <w:r>
        <w:t>4. Estructura del paquete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SqlWorkflowMonitor-1.1.0-&lt;Edition&gt;-win-x64</w:t>
              <w:br/>
              <w:t>├── Web</w:t>
              <w:br/>
              <w:t>├── Worker</w:t>
              <w:br/>
              <w:t>├── Database</w:t>
              <w:br/>
              <w:t>│   └── Install.sql</w:t>
              <w:br/>
              <w:t>├── Configuration</w:t>
              <w:br/>
              <w:t>│   ├── web-appsettings.example.json</w:t>
              <w:br/>
              <w:t>│   └── worker-appsettings.example.json</w:t>
              <w:br/>
              <w:t>├── License</w:t>
              <w:br/>
              <w:t>│   └── README.txt</w:t>
              <w:br/>
              <w:t>├── Scripts</w:t>
              <w:br/>
              <w:t>│   ├── Install-Services.ps1</w:t>
              <w:br/>
              <w:t>│   └── Uninstall-Services.ps1</w:t>
              <w:br/>
              <w:t>├── Legal</w:t>
              <w:br/>
              <w:t>│   ├── EULA-ES.txt</w:t>
              <w:br/>
              <w:t>│   ├── EULA-EN.txt</w:t>
              <w:br/>
              <w:t>│   └── THIRD-PARTY-NOTICES.txt</w:t>
              <w:br/>
              <w:t>├── Documentation</w:t>
              <w:br/>
              <w:t>├── RELEASE-NOTES.md</w:t>
              <w:br/>
              <w:t>└── VERSION.txt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0233F"/>
                <w:sz w:val="18"/>
              </w:rPr>
              <w:t>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No copie al cliente carpetas de desarrollo como .git, .vs, bin, obj, claves privadas, LicenseGenerator ni archivos appsettings.Development.json.</w:t>
            </w:r>
          </w:p>
        </w:tc>
      </w:tr>
    </w:tbl>
    <w:p>
      <w:pPr>
        <w:spacing w:after="0"/>
      </w:pPr>
    </w:p>
    <w:p>
      <w:pPr>
        <w:pStyle w:val="Heading1"/>
      </w:pPr>
      <w:r>
        <w:t>5. Verificar el checksum</w:t>
      </w:r>
    </w:p>
    <w:p>
      <w:r>
        <w:rPr>
          <w:rFonts w:ascii="Arial" w:hAnsi="Arial"/>
          <w:i w:val="0"/>
        </w:rPr>
        <w:t>Antes de extraer el ZIP, compruebe que el SHA-256 coincide con el archivo .sha256.txt entregado junto al paquete.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$zip = ".\SqlWorkflowMonitor-1.1.0-Demo-win-x64.zip"</w:t>
              <w:br/>
              <w:t>$actual = (Get-FileHash $zip -Algorithm SHA256).Hash.ToLowerInvariant()</w:t>
              <w:br/>
              <w:t>$expected = ((Get-Content "$zip.sha256.txt" -Raw).Trim() -split "\s+")[0]</w:t>
              <w:br/>
              <w:t>$actual -eq $expected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Resultado esperado: True.</w:t>
      </w:r>
    </w:p>
    <w:p>
      <w:pPr>
        <w:pStyle w:val="Heading1"/>
      </w:pPr>
      <w:r>
        <w:t>6. Extraer y ubicar el producto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Extraiga el ZIP en una ubicación estable, por ejemplo C:\SqlWorkflowMonitor\App.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No ejecute los servicios desde una carpeta temporal o desde Descargas.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Conserve una copia del ZIP y del checksum para recuperación.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Realice una copia de seguridad antes de reemplazar una instalación existente.</w:t>
      </w:r>
    </w:p>
    <w:p>
      <w:pPr>
        <w:pStyle w:val="Heading1"/>
      </w:pPr>
      <w:r>
        <w:t>7. Crear la base de datos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Abra SSMS con una cuenta autorizada.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Abra Database\Install.sql.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Revise el nombre del servidor y ejecute el script completo.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Confirme que se creó la base SqlWorkflowMonitor con tablas, índices, constraints, datos iniciales y stored procedures.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USE SqlWorkflowMonitor;</w:t>
              <w:br/>
              <w:t>GO</w:t>
              <w:br/>
              <w:t>SELECT name FROM sys.tables ORDER BY name;</w:t>
              <w:br/>
              <w:t>SELECT name FROM sys.procedures ORDER BY name;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Instalaciones de desarrollo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La solución de desarrollo usa SqlWorkflowMonitor_Dev. El paquete comercial normaliza el instalador y las configuraciones de ejemplo para utilizar SqlWorkflowMonitor.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II</w:t>
      </w:r>
    </w:p>
    <w:p>
      <w:pPr>
        <w:pStyle w:val="Heading1"/>
        <w:spacing w:before="80"/>
      </w:pPr>
      <w:r>
        <w:t>Configuración y licenciamiento</w:t>
      </w:r>
    </w:p>
    <w:p/>
    <w:p>
      <w:pPr>
        <w:pStyle w:val="Heading1"/>
      </w:pPr>
      <w:r>
        <w:t>8. Configurar la aplicación Web</w:t>
      </w:r>
    </w:p>
    <w:p>
      <w:r>
        <w:rPr>
          <w:rFonts w:ascii="Arial" w:hAnsi="Arial"/>
          <w:i w:val="0"/>
        </w:rPr>
        <w:t>Edite Web\appsettings.json. Puede partir de Configuration\web-appsettings.example.json.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"ConnectionStrings": {</w:t>
              <w:br/>
              <w:t xml:space="preserve">  "WorkflowMonitor": "Server=YOUR_SQL_SERVER;Database=SqlWorkflowMonitor;Integrated Security=True;Encrypt=True;TrustServerCertificate=True;"</w:t>
              <w:br/>
              <w:t>},</w:t>
              <w:br/>
              <w:t>"Licensing": {</w:t>
              <w:br/>
              <w:t xml:space="preserve">  "LicenseFilePath": "License/sqlworkflowmonitor.lic",</w:t>
              <w:br/>
              <w:t xml:space="preserve">  "PublicKeyFilePath": "Licensing/Keys/sqlworkflowmonitor-public.pem"</w:t>
              <w:br/>
              <w:t>},</w:t>
              <w:br/>
              <w:t>"Kestrel": {</w:t>
              <w:br/>
              <w:t xml:space="preserve">  "Endpoints": { "Http": { "Url": "http://0.0.0.0:5080" } }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  <w:b/>
        </w:rPr>
        <w:t xml:space="preserve">Server: </w:t>
      </w:r>
      <w:r>
        <w:rPr>
          <w:rFonts w:ascii="Arial" w:hAnsi="Arial"/>
        </w:rPr>
        <w:t>reemplace YOUR_SQL_SERVER por la instancia real.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Integrated Security: </w:t>
      </w:r>
      <w:r>
        <w:rPr>
          <w:rFonts w:ascii="Arial" w:hAnsi="Arial"/>
        </w:rPr>
        <w:t>la identidad del servicio Web debe tener permisos en SQL Server.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Puerto 5080: </w:t>
      </w:r>
      <w:r>
        <w:rPr>
          <w:rFonts w:ascii="Arial" w:hAnsi="Arial"/>
        </w:rPr>
        <w:t>el valor 0.0.0.0 escucha en todas las interfaces; restrinja el firewall o cambie a localhost cuando corresponda.</w:t>
      </w:r>
    </w:p>
    <w:p>
      <w:pPr>
        <w:pStyle w:val="ListBullet"/>
        <w:spacing w:after="40"/>
      </w:pPr>
      <w:r>
        <w:rPr>
          <w:rFonts w:ascii="Arial" w:hAnsi="Arial"/>
          <w:b/>
        </w:rPr>
        <w:t>Seguridad: configure Security:Admin:Username, Security:Admin:PasswordHash y Security:Admin:PasswordSalt para el acceso al dashboard. Configure Security:ApiKey y use la misma clave en WorkflowMonitorApi:ApiKey del Worker. No guarde contraseñas, hashes, salts ni API keys reales en archivos versionados o distribuidos sin protección.</w:t>
      </w:r>
      <w:r>
        <w:rPr>
          <w:rFonts w:ascii="Arial" w:hAnsi="Arial"/>
        </w:rPr>
      </w:r>
    </w:p>
    <w:p>
      <w:pPr>
        <w:pStyle w:val="Heading1"/>
      </w:pPr>
      <w:r>
        <w:t>9. Configurar el Worker</w:t>
      </w:r>
    </w:p>
    <w:p>
      <w:r>
        <w:rPr>
          <w:rFonts w:ascii="Arial" w:hAnsi="Arial"/>
          <w:i w:val="0"/>
        </w:rPr>
        <w:t>Edite Worker\appsettings.json. Puede partir de Configuration\worker-appsettings.example.json.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"WorkflowMonitorApi": { "BaseUrl": "http://localhost:5080" },</w:t>
              <w:br/>
              <w:t>"Worker": { "Id": "CustomerCsvWorker" },</w:t>
              <w:br/>
              <w:t>"CsvImport": {</w:t>
              <w:br/>
              <w:t xml:space="preserve">  "ProcessId": 1,</w:t>
              <w:br/>
              <w:t xml:space="preserve">  "FileName": "customers.csv",</w:t>
              <w:br/>
              <w:t xml:space="preserve">  "InputFolder": "C:\\SqlWorkflowMonitor\\Data\\Input",</w:t>
              <w:br/>
              <w:t xml:space="preserve">  "ProcessedFolder": "C:\\SqlWorkflowMonitor\\Data\\Processed",</w:t>
              <w:br/>
              <w:t xml:space="preserve">  "ErrorFolder": "C:\\SqlWorkflowMonitor\\Data\\Error",</w:t>
              <w:br/>
              <w:t xml:space="preserve">  "IntervalSeconds": 60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</w:rPr>
        <w:t>Mantenga Worker:Id estable. Los límites se calculan por WorkerId distinto.</w:t>
      </w:r>
    </w:p>
    <w:p>
      <w:pPr>
        <w:pStyle w:val="ListBullet"/>
        <w:spacing w:after="40"/>
      </w:pPr>
      <w:r>
        <w:rPr>
          <w:rFonts w:ascii="Arial" w:hAnsi="Arial"/>
        </w:rPr>
        <w:t>ProcessId debe existir y estar activo en dbo.Processes.</w:t>
      </w:r>
    </w:p>
    <w:p>
      <w:pPr>
        <w:pStyle w:val="ListBullet"/>
        <w:spacing w:after="40"/>
      </w:pPr>
      <w:r>
        <w:rPr>
          <w:rFonts w:ascii="Arial" w:hAnsi="Arial"/>
        </w:rPr>
        <w:t>El Worker debe apuntar a la URL real del servicio Web y enviar la misma API key configurada en la aplicación Web.</w:t>
      </w:r>
    </w:p>
    <w:p>
      <w:pPr>
        <w:pStyle w:val="ListBullet"/>
        <w:spacing w:after="40"/>
      </w:pPr>
      <w:r>
        <w:rPr>
          <w:rFonts w:ascii="Arial" w:hAnsi="Arial"/>
        </w:rPr>
        <w:t>Las carpetas Input, Processed y Error son creadas por el script de instalación.</w:t>
      </w:r>
    </w:p>
    <w:p>
      <w:r>
        <w:br w:type="page"/>
      </w:r>
    </w:p>
    <w:p>
      <w:pPr>
        <w:pStyle w:val="Heading1"/>
      </w:pPr>
      <w:r>
        <w:t>10. Ediciones y archivo de licencia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Edición</w:t>
            </w:r>
          </w:p>
        </w:tc>
        <w:tc>
          <w:tcPr>
            <w:tcW w:type="dxa" w:w="360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Capacidad inicial</w:t>
            </w:r>
          </w:p>
        </w:tc>
        <w:tc>
          <w:tcPr>
            <w:tcW w:type="dxa" w:w="424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Licencia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Demo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30 días, 3 procesos, 1 Worker, 1 instalación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No requiere archivo comercial; luego queda en solo lectura.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Professional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Hasta 25 procesos, 5 Workers, 1 producción + 1 prueba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Archivo firmado anual vinculado a la instalación.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Enterprise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Procesos, Workers e instalaciones configurables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Archivo firmado según propuesta comercial.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Las licencias comerciales se ubican en Web\License\sqlworkflowmonitor.lic. Para renovar, reemplace ese archivo y reinicie el servicio Web; no es necesario reinstalar el producto.</w:t>
      </w:r>
    </w:p>
    <w:p>
      <w:pPr>
        <w:pStyle w:val="ListBullet"/>
        <w:spacing w:after="40"/>
      </w:pPr>
      <w:r>
        <w:rPr>
          <w:rFonts w:ascii="Arial" w:hAnsi="Arial"/>
        </w:rPr>
        <w:t>La firma utiliza RSA-PSS y SHA-256.</w:t>
      </w:r>
    </w:p>
    <w:p>
      <w:pPr>
        <w:pStyle w:val="ListBullet"/>
        <w:spacing w:after="40"/>
      </w:pPr>
      <w:r>
        <w:rPr>
          <w:rFonts w:ascii="Arial" w:hAnsi="Arial"/>
        </w:rPr>
        <w:t>La aplicación distribuida contiene solo la clave pública.</w:t>
      </w:r>
    </w:p>
    <w:p>
      <w:pPr>
        <w:pStyle w:val="ListBullet"/>
        <w:spacing w:after="40"/>
      </w:pPr>
      <w:r>
        <w:rPr>
          <w:rFonts w:ascii="Arial" w:hAnsi="Arial"/>
        </w:rPr>
        <w:t>Una licencia alterada, con InstallationId incorrecto o firma inválida se rechaza.</w:t>
      </w:r>
    </w:p>
    <w:p>
      <w:pPr>
        <w:pStyle w:val="ListBullet"/>
        <w:spacing w:after="40"/>
      </w:pPr>
      <w:r>
        <w:rPr>
          <w:rFonts w:ascii="Arial" w:hAnsi="Arial"/>
        </w:rPr>
        <w:t>El producto muestra advertencias antes del vencimiento.</w:t>
      </w:r>
    </w:p>
    <w:p>
      <w:pPr>
        <w:pStyle w:val="ListBullet"/>
        <w:spacing w:after="40"/>
      </w:pPr>
      <w:r>
        <w:rPr>
          <w:rFonts w:ascii="Arial" w:hAnsi="Arial"/>
        </w:rPr>
        <w:t>Después del vencimiento existe una gracia de 14 días; luego se activa solo lectura.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8F5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InstallationId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La instalación genera un InstallationId. Envíe ese código al emisor de licencias para obtener una licencia Professional o Enterprise. No envíe bases, contraseñas ni claves privadas.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III</w:t>
      </w:r>
    </w:p>
    <w:p>
      <w:pPr>
        <w:pStyle w:val="Heading1"/>
        <w:spacing w:before="80"/>
      </w:pPr>
      <w:r>
        <w:t>Servicios de Windows y puesta en marcha</w:t>
      </w:r>
    </w:p>
    <w:p/>
    <w:p>
      <w:pPr>
        <w:pStyle w:val="Heading1"/>
      </w:pPr>
      <w:r>
        <w:t>11. Instalar los servicios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Configure Web\appsettings.json y Worker\appsettings.json.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Ejecute Database\Install.sql.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Abra PowerShell como Administrador en la raíz del paquete.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Ejecute el script Scripts\Install-Services.ps1.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5.  </w:t>
      </w:r>
      <w:r>
        <w:rPr>
          <w:rFonts w:ascii="Arial" w:hAnsi="Arial"/>
        </w:rPr>
        <w:t>Confirme que SqlWorkflowMonitor Web y SqlWorkflowMonitor Worker estén en estado Running y con inicio automático.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powershell -ExecutionPolicy Bypass -File ".\Scripts\Install-Services.ps1"</w:t>
              <w:br/>
              <w:t>Get-Service "SqlWorkflowMonitor Web", "SqlWorkflowMonitor Worker"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El Worker depende del servicio Web. Ambos se configuran para reiniciarse automáticamente después de una falla.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0233F"/>
                <w:sz w:val="18"/>
              </w:rPr>
              <w:t>Cuenta de servicio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El script crea los servicios con la identidad predeterminada de Windows. Verifique que esa identidad pueda conectarse a SQL Server y leer/escribir las carpetas configuradas. En ambientes corporativos, use una cuenta de servicio administrada según las políticas del cliente.</w:t>
            </w:r>
          </w:p>
        </w:tc>
      </w:tr>
    </w:tbl>
    <w:p>
      <w:pPr>
        <w:spacing w:after="0"/>
      </w:pPr>
    </w:p>
    <w:p>
      <w:pPr>
        <w:pStyle w:val="Heading1"/>
      </w:pPr>
      <w:r>
        <w:t>12. Verificar la puesta en marcha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Recurso</w:t>
            </w:r>
          </w:p>
        </w:tc>
        <w:tc>
          <w:tcPr>
            <w:tcW w:type="dxa" w:w="712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Dirección predeterminada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Dashboard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http://localhost:5080/executions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Swagger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http://localhost:5080/swagger (solo cuando esté habilitado)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Health check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http://localhost:5080/api/health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El health check debe responder HTTP 200, estado Healthy y base Connected. Un HTTP 503 indica un problema de conexión con SQL Server.</w:t>
      </w:r>
    </w:p>
    <w:p>
      <w:pPr>
        <w:pStyle w:val="Heading1"/>
      </w:pPr>
      <w:r>
        <w:t>13. Desinstalar servicios</w:t>
      </w:r>
    </w:p>
    <w:p>
      <w:r>
        <w:rPr>
          <w:rFonts w:ascii="Arial" w:hAnsi="Arial"/>
          <w:i w:val="0"/>
        </w:rPr>
        <w:t>El script de desinstalación detiene y elimina los servicios, pero no elimina la base ni las carpetas de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powershell -ExecutionPolicy Bypass -File ".\Scripts\Uninstall-Services.ps1"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</w:rPr>
        <w:t>Realice una copia de seguridad de la base antes de actualizar o desinstalar.</w:t>
      </w:r>
    </w:p>
    <w:p>
      <w:pPr>
        <w:pStyle w:val="ListBullet"/>
        <w:spacing w:after="40"/>
      </w:pPr>
      <w:r>
        <w:rPr>
          <w:rFonts w:ascii="Arial" w:hAnsi="Arial"/>
        </w:rPr>
        <w:t>Conserve Web\License\sqlworkflowmonitor.lic y los appsettings cuando corresponda.</w:t>
      </w:r>
    </w:p>
    <w:p>
      <w:pPr>
        <w:pStyle w:val="ListBullet"/>
        <w:spacing w:after="40"/>
      </w:pPr>
      <w:r>
        <w:rPr>
          <w:rFonts w:ascii="Arial" w:hAnsi="Arial"/>
        </w:rPr>
        <w:t>La eliminación de datos debe ser una decisión explícita del administrador.</w:t>
      </w: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IV</w:t>
      </w:r>
    </w:p>
    <w:p>
      <w:pPr>
        <w:pStyle w:val="Heading1"/>
        <w:spacing w:before="80"/>
      </w:pPr>
      <w:r>
        <w:t>Operación diaria</w:t>
      </w:r>
    </w:p>
    <w:p/>
    <w:p>
      <w:pPr>
        <w:pStyle w:val="Heading1"/>
      </w:pPr>
      <w:r>
        <w:t>14. Dashboard e indicadores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60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6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Vista principal con estado de edición, indicadores, filtros y ejecuciones.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Indicador</w:t>
            </w:r>
          </w:p>
        </w:tc>
        <w:tc>
          <w:tcPr>
            <w:tcW w:type="dxa" w:w="640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Interpretación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Running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Ejecuciones todavía abiertas.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Succeeded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Ejecuciones finalizadas correctamente.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Failed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Ejecuciones finalizadas con error.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Average successful duration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Promedio de duración de las ejecuciones exitosas del filtro actual.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Processes / Workers used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Capacidad distinta consumida por la edición activa.</w:t>
            </w:r>
          </w:p>
        </w:tc>
      </w:tr>
    </w:tbl>
    <w:p>
      <w:pPr>
        <w:spacing w:after="0"/>
      </w:pPr>
    </w:p>
    <w:p>
      <w:pPr>
        <w:pStyle w:val="Heading1"/>
      </w:pPr>
      <w:r>
        <w:t>15. Filtrar, ordenar, paginar y exportar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97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Ejemplo de historial filtrado por ejecuciones exitosas.</w:t>
      </w:r>
    </w:p>
    <w:p>
      <w:pPr>
        <w:pStyle w:val="ListBullet"/>
        <w:spacing w:after="40"/>
      </w:pPr>
      <w:r>
        <w:rPr>
          <w:rFonts w:ascii="Arial" w:hAnsi="Arial"/>
        </w:rPr>
        <w:t>Filtre por estado, proceso y rango de fechas.</w:t>
      </w:r>
    </w:p>
    <w:p>
      <w:pPr>
        <w:pStyle w:val="ListBullet"/>
        <w:spacing w:after="40"/>
      </w:pPr>
      <w:r>
        <w:rPr>
          <w:rFonts w:ascii="Arial" w:hAnsi="Arial"/>
        </w:rPr>
        <w:t>Ordene por columnas habilitadas y navegue con paginación.</w:t>
      </w:r>
    </w:p>
    <w:p>
      <w:pPr>
        <w:pStyle w:val="ListBullet"/>
        <w:spacing w:after="40"/>
      </w:pPr>
      <w:r>
        <w:rPr>
          <w:rFonts w:ascii="Arial" w:hAnsi="Arial"/>
        </w:rPr>
        <w:t>GET /api/executions usa 100 registros por defecto y admite un máximo de 500 por consulta.</w:t>
      </w:r>
    </w:p>
    <w:p>
      <w:pPr>
        <w:pStyle w:val="ListBullet"/>
        <w:spacing w:after="40"/>
      </w:pPr>
      <w:r>
        <w:rPr>
          <w:rFonts w:ascii="Arial" w:hAnsi="Arial"/>
        </w:rPr>
        <w:t>La exportación CSV conserva filtros y orden, aplica protección contra fórmulas y respeta la licencia activa.</w:t>
      </w:r>
    </w:p>
    <w:p>
      <w:pPr>
        <w:pStyle w:val="ListBullet"/>
        <w:spacing w:after="40"/>
      </w:pPr>
      <w:r>
        <w:rPr>
          <w:rFonts w:ascii="Arial" w:hAnsi="Arial"/>
        </w:rPr>
        <w:t>El selector ES/EN cambia textos y formato visible de fechas.</w:t>
      </w:r>
    </w:p>
    <w:p>
      <w:r>
        <w:br w:type="page"/>
      </w:r>
    </w:p>
    <w:p>
      <w:pPr>
        <w:pStyle w:val="Heading1"/>
      </w:pPr>
      <w:r>
        <w:t>16. Consultar el detalle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4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Detalle de una ejecución exitosa con métricas de procesamiento.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Campo</w:t>
            </w:r>
          </w:p>
        </w:tc>
        <w:tc>
          <w:tcPr>
            <w:tcW w:type="dxa" w:w="720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Significado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Cantidad total de elementos analizados.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Succeeded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Elementos procesados correctamente.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Failed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Elementos inválidos o no procesados correctamente.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Affected rows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Filas modificadas o insertadas por el proceso.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Error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Mensaje informado cuando la ejecución finaliza como Failed.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V</w:t>
      </w:r>
    </w:p>
    <w:p>
      <w:pPr>
        <w:pStyle w:val="Heading1"/>
        <w:spacing w:before="80"/>
      </w:pPr>
      <w:r>
        <w:t>Worker CSV e integración API</w:t>
      </w:r>
    </w:p>
    <w:p/>
    <w:p>
      <w:pPr>
        <w:pStyle w:val="Heading1"/>
      </w:pPr>
      <w:r>
        <w:t>17. Preparar y procesar customers.csv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Name,Email</w:t>
              <w:br/>
              <w:t>Ana Perez,ana@example.com</w:t>
              <w:br/>
              <w:t>Luis Gomez,luis@example.com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</w:rPr>
        <w:t>El encabezado debe ser Name,Email.</w:t>
      </w:r>
    </w:p>
    <w:p>
      <w:pPr>
        <w:pStyle w:val="ListBullet"/>
        <w:spacing w:after="40"/>
      </w:pPr>
      <w:r>
        <w:rPr>
          <w:rFonts w:ascii="Arial" w:hAnsi="Arial"/>
        </w:rPr>
        <w:t>Name y Email son obligatorios; el archivo debe tener al menos un registro.</w:t>
      </w:r>
    </w:p>
    <w:p>
      <w:pPr>
        <w:pStyle w:val="ListBullet"/>
        <w:spacing w:after="40"/>
      </w:pPr>
      <w:r>
        <w:rPr>
          <w:rFonts w:ascii="Arial" w:hAnsi="Arial"/>
        </w:rPr>
        <w:t>La implementación de ejemplo separa por comas y no es un parser completo para valores complejos con comas internas.</w:t>
      </w:r>
    </w:p>
    <w:p>
      <w:pPr>
        <w:pStyle w:val="ListBullet"/>
        <w:spacing w:after="40"/>
      </w:pPr>
      <w:r>
        <w:rPr>
          <w:rFonts w:ascii="Arial" w:hAnsi="Arial"/>
        </w:rPr>
        <w:t>Después del cierre confirmado de la ejecución, el archivo válido se mueve a Processed; un error se mueve a Error.</w:t>
      </w:r>
    </w:p>
    <w:p>
      <w:pPr>
        <w:pStyle w:val="ListBullet"/>
        <w:spacing w:after="40"/>
      </w:pPr>
      <w:r>
        <w:rPr>
          <w:rFonts w:ascii="Arial" w:hAnsi="Arial"/>
        </w:rPr>
        <w:t>Si la licencia impide iniciar, el archivo permanece en Input y el proceso real no es detenido por SqlWorkflowMonitor.</w:t>
      </w:r>
    </w:p>
    <w:p>
      <w:r>
        <w:br w:type="page"/>
      </w:r>
    </w:p>
    <w:p>
      <w:pPr>
        <w:pStyle w:val="Heading1"/>
      </w:pPr>
      <w:r>
        <w:t>18. Endpoints disponibles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963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9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Endpoints de SqlWorkflowMonitor visibles en Swagger en un entorno controlado.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5"/>
              </w:rPr>
              <w:t>Método</w:t>
            </w:r>
          </w:p>
        </w:tc>
        <w:tc>
          <w:tcPr>
            <w:tcW w:type="dxa" w:w="4176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5"/>
              </w:rPr>
              <w:t>Ruta</w:t>
            </w:r>
          </w:p>
        </w:tc>
        <w:tc>
          <w:tcPr>
            <w:tcW w:type="dxa" w:w="432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5"/>
              </w:rPr>
              <w:t>Uso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/api/health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Comprobar API y base de datos.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/api/executions?limit=100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Listar ejecuciones; máximo 500.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/api/executions/{id}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Consultar una ejecución.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/api/executions/stuck?olderThanMinutes=30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Detectar ejecuciones demoradas.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/api/executions/start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Iniciar una ejecución.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/api/executions/{id}/finish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Finalizar una ejecución.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Iniciar y finalizar ejecuciones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Las solicitudes protegidas de la API deben incluir la API key configurada.</w:t>
              <w:br/>
              <w:t>POST /api/executions/start</w:t>
              <w:br/>
              <w:t>{ "processId": 1, "workerId": "CustomerCsvWorker" }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Una ejecución Failed debe incluir errorMessage. Las métricas no pueden ser negativas y SucceededItems + FailedItems no puede superar TotalItems.</w:t>
      </w: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VI</w:t>
      </w:r>
    </w:p>
    <w:p>
      <w:pPr>
        <w:pStyle w:val="Heading1"/>
        <w:spacing w:before="80"/>
      </w:pPr>
      <w:r>
        <w:t>Operación segura, incidentes y cierre</w:t>
      </w:r>
    </w:p>
    <w:p/>
    <w:p>
      <w:pPr>
        <w:pStyle w:val="Heading1"/>
      </w:pPr>
      <w:r>
        <w:t>20. Seguridad mínima de despliegue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CE8E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No exponer directamente a Internet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SqlWorkflowMonitor 1.1.0 implementa seguridad mínima de aplicación: el dashboard exige una cuenta de administrador local configurada y los endpoints protegidos de la API requieren una API key compartida con el Worker o las integraciones autorizadas. El endpoint público de health permanece disponible para verificaciones operativas. Restrinja el puerto 5080 mediante firewall, proxy inverso, VPN o segmentación de red. No publique Swagger en redes no confiables.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</w:rPr>
        <w:t>Use cuentas de servicio con privilegios mínimos.</w:t>
      </w:r>
    </w:p>
    <w:p>
      <w:pPr>
        <w:pStyle w:val="ListBullet"/>
        <w:spacing w:after="40"/>
      </w:pPr>
      <w:r>
        <w:rPr>
          <w:rFonts w:ascii="Arial" w:hAnsi="Arial"/>
        </w:rPr>
        <w:t>Proteja appsettings.json y el archivo de licencia.</w:t>
      </w:r>
    </w:p>
    <w:p>
      <w:pPr>
        <w:pStyle w:val="ListBullet"/>
        <w:spacing w:after="40"/>
      </w:pPr>
      <w:r>
        <w:rPr>
          <w:rFonts w:ascii="Arial" w:hAnsi="Arial"/>
        </w:rPr>
        <w:t>No escriba contraseñas, tokens o datos personales sensibles en ErrorMessage.</w:t>
      </w:r>
    </w:p>
    <w:p>
      <w:pPr>
        <w:pStyle w:val="ListBullet"/>
        <w:spacing w:after="40"/>
      </w:pPr>
      <w:r>
        <w:rPr>
          <w:rFonts w:ascii="Arial" w:hAnsi="Arial"/>
        </w:rPr>
        <w:t>Use SQL Server con backups, cifrado y políticas de acceso apropiadas.</w:t>
      </w:r>
    </w:p>
    <w:p>
      <w:pPr>
        <w:pStyle w:val="ListBullet"/>
        <w:spacing w:after="40"/>
      </w:pPr>
      <w:r>
        <w:rPr>
          <w:rFonts w:ascii="Arial" w:hAnsi="Arial"/>
        </w:rPr>
        <w:t>Revise logs y estado de servicios después de cada actualización.</w:t>
      </w:r>
    </w:p>
    <w:p>
      <w:pPr>
        <w:pStyle w:val="Heading1"/>
      </w:pPr>
      <w:r>
        <w:t>21. Problemas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952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6"/>
              </w:rPr>
              <w:t>Problema</w:t>
            </w:r>
          </w:p>
        </w:tc>
        <w:tc>
          <w:tcPr>
            <w:tcW w:type="dxa" w:w="64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6"/>
              </w:rPr>
              <w:t>Revisión recomendada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Dashboard no abre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Estado de SqlWorkflowMonitor Web, puerto 5080 y firewall.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Health devuelve 503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SQL Server, nombre de base y ConnectionStrings:WorkflowMonitor.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Worker no procesa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Servicio Worker, customers.csv, carpetas, BaseUrl e intervalo.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Start devuelve 403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Estado de licencia, vencimiento, procesos y WorkerId.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Licencia inválida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InstallationId, firma, fecha, ubicación y nombre sqlworkflowmonitor.lic.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Ejecución queda Running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Logs y respuesta del endpoint finish; cierre con el estado real.</w:t>
            </w:r>
          </w:p>
        </w:tc>
      </w:tr>
    </w:tbl>
    <w:p>
      <w:pPr>
        <w:spacing w:after="0"/>
      </w:pPr>
    </w:p>
    <w:p>
      <w:pPr>
        <w:pStyle w:val="Heading1"/>
      </w:pPr>
      <w:r>
        <w:t>22. Backup, actualización y recuperación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Detenga el Worker para evitar nuevos archivos durante la actualización.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Realice backup de la base SqlWorkflowMonitor.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Respalde appsettings.json y la licencia.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Aplique el script de actualización indicado para la versión, cuando exista.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5.  </w:t>
      </w:r>
      <w:r>
        <w:rPr>
          <w:rFonts w:ascii="Arial" w:hAnsi="Arial"/>
        </w:rPr>
        <w:t>Reemplace binarios y reinicie servicios.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6.  </w:t>
      </w:r>
      <w:r>
        <w:rPr>
          <w:rFonts w:ascii="Arial" w:hAnsi="Arial"/>
        </w:rPr>
        <w:t>Valide health, dashboard, API, licencia y procesamiento CSV.</w:t>
      </w:r>
    </w:p>
    <w:p>
      <w:r>
        <w:br w:type="page"/>
      </w:r>
    </w:p>
    <w:p>
      <w:pPr>
        <w:pStyle w:val="Heading1"/>
      </w:pPr>
      <w:r>
        <w:t>23. Lista de verificación final</w:t>
      </w:r>
    </w:p>
    <w:p>
      <w:pPr>
        <w:pStyle w:val="ListBullet"/>
        <w:spacing w:after="40"/>
      </w:pPr>
      <w:r>
        <w:rPr>
          <w:rFonts w:ascii="Arial" w:hAnsi="Arial"/>
        </w:rPr>
        <w:t>☐ El checksum del ZIP coincide.</w:t>
      </w:r>
    </w:p>
    <w:p>
      <w:pPr>
        <w:pStyle w:val="ListBullet"/>
        <w:spacing w:after="40"/>
      </w:pPr>
      <w:r>
        <w:rPr>
          <w:rFonts w:ascii="Arial" w:hAnsi="Arial"/>
        </w:rPr>
        <w:t>☐ Database\Install.sql finaliza sin errores.</w:t>
      </w:r>
    </w:p>
    <w:p>
      <w:pPr>
        <w:pStyle w:val="ListBullet"/>
        <w:spacing w:after="40"/>
      </w:pPr>
      <w:r>
        <w:rPr>
          <w:rFonts w:ascii="Arial" w:hAnsi="Arial"/>
        </w:rPr>
        <w:t>☐ Web y Worker usan la misma base y URL.</w:t>
      </w:r>
    </w:p>
    <w:p>
      <w:pPr>
        <w:pStyle w:val="ListBullet"/>
        <w:spacing w:after="40"/>
      </w:pPr>
      <w:r>
        <w:rPr>
          <w:rFonts w:ascii="Arial" w:hAnsi="Arial"/>
        </w:rPr>
        <w:t>☐ Los servicios están Running y en inicio automático.</w:t>
      </w:r>
    </w:p>
    <w:p>
      <w:pPr>
        <w:pStyle w:val="ListBullet"/>
        <w:spacing w:after="40"/>
      </w:pPr>
      <w:r>
        <w:rPr>
          <w:rFonts w:ascii="Arial" w:hAnsi="Arial"/>
        </w:rPr>
        <w:t>☐ Health responde Healthy / Connected.</w:t>
      </w:r>
    </w:p>
    <w:p>
      <w:pPr>
        <w:pStyle w:val="ListBullet"/>
        <w:spacing w:after="40"/>
      </w:pPr>
      <w:r>
        <w:rPr>
          <w:rFonts w:ascii="Arial" w:hAnsi="Arial"/>
        </w:rPr>
        <w:t>☐ La edición y los límites mostrados son correctos.</w:t>
      </w:r>
    </w:p>
    <w:p>
      <w:pPr>
        <w:pStyle w:val="ListBullet"/>
        <w:spacing w:after="40"/>
      </w:pPr>
      <w:r>
        <w:rPr>
          <w:rFonts w:ascii="Arial" w:hAnsi="Arial"/>
        </w:rPr>
        <w:t>☐ Un CSV válido termina en Processed con métricas.</w:t>
      </w:r>
    </w:p>
    <w:p>
      <w:pPr>
        <w:pStyle w:val="ListBullet"/>
        <w:spacing w:after="40"/>
      </w:pPr>
      <w:r>
        <w:rPr>
          <w:rFonts w:ascii="Arial" w:hAnsi="Arial"/>
        </w:rPr>
        <w:t>☐ Licencia alterada o incorrecta es rechazada.</w:t>
      </w:r>
    </w:p>
    <w:p>
      <w:pPr>
        <w:pStyle w:val="ListBullet"/>
        <w:spacing w:after="40"/>
      </w:pPr>
      <w:r>
        <w:rPr>
          <w:rFonts w:ascii="Arial" w:hAnsi="Arial"/>
        </w:rPr>
        <w:t>☐ Filtros, detalle, API y exportación funcionan.</w:t>
      </w:r>
    </w:p>
    <w:p>
      <w:pPr>
        <w:pStyle w:val="ListBullet"/>
        <w:spacing w:after="40"/>
      </w:pPr>
      <w:r>
        <w:rPr>
          <w:rFonts w:ascii="Arial" w:hAnsi="Arial"/>
        </w:rPr>
        <w:t>☐ Firewall y acceso de red están restringidos.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Documentación legal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El uso del producto está sujeto al EULA correspondiente. THIRD-PARTY-NOTICES.txt contiene los avisos de componentes de terceros. Los borradores legales deben revisarse profesionalmente antes de ventas reales.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" w:hAnsi="Arial"/>
          <w:i/>
          <w:color w:val="6B7280"/>
          <w:sz w:val="16"/>
        </w:rPr>
        <w:t>SqlWorkflowMonitor 1.1.0 | Federico Stimpfl | www.federicostimpfl.com.ar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2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6B7280"/>
        <w:sz w:val="15"/>
      </w:rPr>
      <w:t>SQLWORKFLOWMONITOR | MANUAL DE INSTALACIÓN Y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267E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3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267E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233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SqlWorkflowMonitor - Manual de instalación y uso</dc:title>
  <dc:subject>Instalación, licenciamiento y operación de SqlWorkflowMonitor 1.1.0</dc:subject>
  <dc:creator>Federico Stimpfl</dc:creator>
  <cp:keywords>SqlWorkflowMonitor, .NET, SQL Server, backend monitoring</cp:keywords>
  <dc:description>Updated for SqlWorkflowMonitor 1.1.0 commercial packaging.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