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pPr>
      <w:r>
        <w:rPr>
          <w:rFonts w:ascii="Arial" w:hAnsi="Arial"/>
          <w:b/>
          <w:color w:val="1267E5"/>
          <w:sz w:val="20"/>
        </w:rPr>
        <w:t>INSTALLATION AND OPERATIONS GUIDE</w:t>
      </w:r>
    </w:p>
    <w:p>
      <w:pPr>
        <w:pStyle w:val="Title"/>
        <w:spacing w:before="200" w:after="160"/>
      </w:pPr>
      <w:r>
        <w:t>SqlWorkflowMonitor</w:t>
      </w:r>
    </w:p>
    <w:p>
      <w:pPr>
        <w:spacing w:after="280"/>
      </w:pPr>
      <w:r>
        <w:rPr>
          <w:rFonts w:ascii="Arial" w:hAnsi="Arial"/>
          <w:color w:val="24364B"/>
          <w:sz w:val="36"/>
        </w:rPr>
        <w:t>How to install, license, configure, and operate version 1.1.0</w:t>
      </w:r>
    </w:p>
    <w:tbl>
      <w:tblPr>
        <w:tblW w:type="auto" w:w="0"/>
        <w:jc w:val="center"/>
        <w:tblLayout w:type="fixed"/>
        <w:tblLook w:firstColumn="1" w:firstRow="1" w:lastColumn="0" w:lastRow="0" w:noHBand="0" w:noVBand="1" w:val="04A0"/>
      </w:tblPr>
      <w:tblGrid>
        <w:gridCol w:w="9576"/>
      </w:tblGrid>
      <w:tr>
        <w:tc>
          <w:tcPr>
            <w:tcW w:type="dxa" w:w="10080"/>
            <w:shd w:fill="EAF2FF"/>
            <w:tcMar>
              <w:top w:w="150" w:type="dxa"/>
              <w:start w:w="180" w:type="dxa"/>
              <w:bottom w:w="150" w:type="dxa"/>
              <w:end w:w="180" w:type="dxa"/>
            </w:tcMar>
          </w:tcPr>
          <w:p>
            <w:r>
              <w:rPr>
                <w:rFonts w:ascii="Arial" w:hAnsi="Arial"/>
                <w:b/>
                <w:color w:val="1267E5"/>
                <w:sz w:val="18"/>
              </w:rPr>
              <w:t>Version</w:t>
            </w:r>
          </w:p>
          <w:p>
            <w:pPr>
              <w:spacing w:after="0"/>
            </w:pPr>
            <w:r>
              <w:rPr>
                <w:rFonts w:ascii="Arial" w:hAnsi="Arial"/>
                <w:color w:val="24364B"/>
                <w:sz w:val="18"/>
              </w:rPr>
              <w:t>Documentation 1.1.0 | Windows x64 | July 2026</w:t>
            </w:r>
          </w:p>
        </w:tc>
      </w:tr>
    </w:tbl>
    <w:p>
      <w:pPr>
        <w:spacing w:after="0"/>
      </w:pPr>
    </w:p>
    <w:tbl>
      <w:tblPr>
        <w:tblW w:type="auto" w:w="0"/>
        <w:jc w:val="center"/>
        <w:tblLayout w:type="fixed"/>
        <w:tblLook w:firstColumn="1" w:firstRow="1" w:lastColumn="0" w:lastRow="0" w:noHBand="0" w:noVBand="1" w:val="04A0"/>
      </w:tblPr>
      <w:tblGrid>
        <w:gridCol w:w="9576"/>
      </w:tblGrid>
      <w:tr>
        <w:tc>
          <w:tcPr>
            <w:tcW w:type="dxa" w:w="10080"/>
            <w:shd w:fill="FFF3CD"/>
            <w:tcMar>
              <w:top w:w="150" w:type="dxa"/>
              <w:start w:w="180" w:type="dxa"/>
              <w:bottom w:w="150" w:type="dxa"/>
              <w:end w:w="180" w:type="dxa"/>
            </w:tcMar>
          </w:tcPr>
          <w:p>
            <w:r>
              <w:rPr>
                <w:rFonts w:ascii="Arial" w:hAnsi="Arial"/>
                <w:b/>
                <w:color w:val="10233F"/>
                <w:sz w:val="18"/>
              </w:rPr>
              <w:t>Important security notice</w:t>
            </w:r>
          </w:p>
          <w:p>
            <w:pPr>
              <w:spacing w:after="0"/>
            </w:pPr>
            <w:r>
              <w:rPr>
                <w:rFonts w:ascii="Arial" w:hAnsi="Arial"/>
                <w:color w:val="24364B"/>
                <w:sz w:val="18"/>
              </w:rPr>
              <w:t>Important security notice: the dashboard is protected by a local administrator account, and protected API endpoints require an API key for the Worker and external integrations. Do not expose the application directly to the Internet. Keep access on localhost or a controlled private network, restrict the firewall, protect credentials, and apply infrastructure access controls.</w:t>
            </w:r>
          </w:p>
        </w:tc>
      </w:tr>
    </w:tbl>
    <w:p>
      <w:pPr>
        <w:spacing w:after="0"/>
      </w:pPr>
    </w:p>
    <w:p/>
    <w:p>
      <w:pPr>
        <w:jc w:val="center"/>
      </w:pPr>
      <w:r>
        <w:rPr>
          <w:rFonts w:ascii="Arial" w:hAnsi="Arial"/>
          <w:b/>
          <w:color w:val="10233F"/>
          <w:sz w:val="18"/>
        </w:rPr>
        <w:t>.NET 10  |  SQL Server  |  REST API  |  Windows Services  |  Offline licensing</w:t>
      </w:r>
    </w:p>
    <w:p>
      <w:r>
        <w:br w:type="page"/>
      </w:r>
    </w:p>
    <w:p>
      <w:pPr>
        <w:pStyle w:val="Heading1"/>
      </w:pPr>
      <w:r>
        <w:t>1. Scope and architecture</w:t>
      </w:r>
    </w:p>
    <w:p>
      <w:r>
        <w:rPr>
          <w:rFonts w:ascii="Arial" w:hAnsi="Arial"/>
          <w:i w:val="0"/>
        </w:rPr>
        <w:t>SqlWorkflowMonitor records and displays the lifecycle of backend processes: start, completion, status, duration, metrics, and errors. The 1.1.0 distribution includes a Web application, a sample Worker, a SQL Server database, offline licensing, and scripts that install both executables as Windows services.</w:t>
      </w:r>
    </w:p>
    <w:p>
      <w:pPr>
        <w:pStyle w:val="ListBullet"/>
        <w:spacing w:after="40"/>
      </w:pPr>
      <w:r>
        <w:rPr>
          <w:rFonts w:ascii="Arial" w:hAnsi="Arial"/>
        </w:rPr>
        <w:t>Bilingual dashboard for execution history, indicators, overdue runs, and details.</w:t>
      </w:r>
    </w:p>
    <w:p>
      <w:pPr>
        <w:pStyle w:val="ListBullet"/>
        <w:spacing w:after="40"/>
      </w:pPr>
      <w:r>
        <w:rPr>
          <w:rFonts w:ascii="Arial" w:hAnsi="Arial"/>
        </w:rPr>
        <w:t>REST API to start, finish, and query executions.</w:t>
      </w:r>
    </w:p>
    <w:p>
      <w:pPr>
        <w:pStyle w:val="ListBullet"/>
        <w:spacing w:after="40"/>
      </w:pPr>
      <w:r>
        <w:rPr>
          <w:rFonts w:ascii="Arial" w:hAnsi="Arial"/>
        </w:rPr>
        <w:t>Sample Worker that processes customer CSV files.</w:t>
      </w:r>
    </w:p>
    <w:p>
      <w:pPr>
        <w:pStyle w:val="ListBullet"/>
        <w:spacing w:after="40"/>
      </w:pPr>
      <w:r>
        <w:rPr>
          <w:rFonts w:ascii="Arial" w:hAnsi="Arial"/>
        </w:rPr>
        <w:t>SQL Server storage with consistency enforcement.</w:t>
      </w:r>
    </w:p>
    <w:p>
      <w:pPr>
        <w:pStyle w:val="ListBullet"/>
        <w:spacing w:after="40"/>
      </w:pPr>
      <w:r>
        <w:rPr>
          <w:rFonts w:ascii="Arial" w:hAnsi="Arial"/>
        </w:rPr>
        <w:t>Offline Demo, Professional, and Enterprise licensing.</w:t>
      </w:r>
    </w:p>
    <w:p>
      <w:pPr>
        <w:pStyle w:val="Heading1"/>
      </w:pPr>
      <w:r>
        <w:t>2. Basic concepts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1944"/>
            <w:shd w:fill="D9E2F3"/>
            <w:tcMar>
              <w:top w:w="100" w:type="dxa"/>
              <w:start w:w="120" w:type="dxa"/>
              <w:bottom w:w="100" w:type="dxa"/>
              <w:end w:w="120" w:type="dxa"/>
            </w:tcMar>
            <w:vAlign w:val="center"/>
          </w:tcPr>
          <w:p>
            <w:r>
              <w:rPr>
                <w:rFonts w:ascii="Arial" w:hAnsi="Arial"/>
                <w:b/>
                <w:color w:val="10233F"/>
                <w:sz w:val="17"/>
              </w:rPr>
              <w:t>Concept</w:t>
            </w:r>
          </w:p>
        </w:tc>
        <w:tc>
          <w:tcPr>
            <w:tcW w:type="dxa" w:w="7488"/>
            <w:shd w:fill="D9E2F3"/>
            <w:tcMar>
              <w:top w:w="100" w:type="dxa"/>
              <w:start w:w="120" w:type="dxa"/>
              <w:bottom w:w="100" w:type="dxa"/>
              <w:end w:w="120" w:type="dxa"/>
            </w:tcMar>
            <w:vAlign w:val="center"/>
          </w:tcPr>
          <w:p>
            <w:r>
              <w:rPr>
                <w:rFonts w:ascii="Arial" w:hAnsi="Arial"/>
                <w:b/>
                <w:color w:val="10233F"/>
                <w:sz w:val="17"/>
              </w:rPr>
              <w:t>Meaning</w:t>
            </w:r>
          </w:p>
        </w:tc>
      </w:tr>
      <w:tr>
        <w:tc>
          <w:tcPr>
            <w:tcW w:type="dxa" w:w="1944"/>
            <w:tcMar>
              <w:top w:w="100" w:type="dxa"/>
              <w:start w:w="120" w:type="dxa"/>
              <w:bottom w:w="100" w:type="dxa"/>
              <w:end w:w="120" w:type="dxa"/>
            </w:tcMar>
            <w:vAlign w:val="center"/>
          </w:tcPr>
          <w:p>
            <w:r>
              <w:rPr>
                <w:rFonts w:ascii="Arial" w:hAnsi="Arial"/>
                <w:sz w:val="17"/>
              </w:rPr>
              <w:t>Process</w:t>
            </w:r>
          </w:p>
        </w:tc>
        <w:tc>
          <w:tcPr>
            <w:tcW w:type="dxa" w:w="7488"/>
            <w:tcMar>
              <w:top w:w="100" w:type="dxa"/>
              <w:start w:w="120" w:type="dxa"/>
              <w:bottom w:w="100" w:type="dxa"/>
              <w:end w:w="120" w:type="dxa"/>
            </w:tcMar>
            <w:vAlign w:val="center"/>
          </w:tcPr>
          <w:p>
            <w:r>
              <w:rPr>
                <w:rFonts w:ascii="Arial" w:hAnsi="Arial"/>
                <w:sz w:val="17"/>
              </w:rPr>
              <w:t>A monitored type of work, such as an import or batch close.</w:t>
            </w:r>
          </w:p>
        </w:tc>
      </w:tr>
      <w:tr>
        <w:tc>
          <w:tcPr>
            <w:tcW w:type="dxa" w:w="1944"/>
            <w:tcMar>
              <w:top w:w="100" w:type="dxa"/>
              <w:start w:w="120" w:type="dxa"/>
              <w:bottom w:w="100" w:type="dxa"/>
              <w:end w:w="120" w:type="dxa"/>
            </w:tcMar>
            <w:vAlign w:val="center"/>
          </w:tcPr>
          <w:p>
            <w:r>
              <w:rPr>
                <w:rFonts w:ascii="Arial" w:hAnsi="Arial"/>
                <w:sz w:val="17"/>
              </w:rPr>
              <w:t>Execution</w:t>
            </w:r>
          </w:p>
        </w:tc>
        <w:tc>
          <w:tcPr>
            <w:tcW w:type="dxa" w:w="7488"/>
            <w:tcMar>
              <w:top w:w="100" w:type="dxa"/>
              <w:start w:w="120" w:type="dxa"/>
              <w:bottom w:w="100" w:type="dxa"/>
              <w:end w:w="120" w:type="dxa"/>
            </w:tcMar>
            <w:vAlign w:val="center"/>
          </w:tcPr>
          <w:p>
            <w:r>
              <w:rPr>
                <w:rFonts w:ascii="Arial" w:hAnsi="Arial"/>
                <w:sz w:val="17"/>
              </w:rPr>
              <w:t>One individual run of a process.</w:t>
            </w:r>
          </w:p>
        </w:tc>
      </w:tr>
      <w:tr>
        <w:tc>
          <w:tcPr>
            <w:tcW w:type="dxa" w:w="1944"/>
            <w:tcMar>
              <w:top w:w="100" w:type="dxa"/>
              <w:start w:w="120" w:type="dxa"/>
              <w:bottom w:w="100" w:type="dxa"/>
              <w:end w:w="120" w:type="dxa"/>
            </w:tcMar>
            <w:vAlign w:val="center"/>
          </w:tcPr>
          <w:p>
            <w:r>
              <w:rPr>
                <w:rFonts w:ascii="Arial" w:hAnsi="Arial"/>
                <w:sz w:val="17"/>
              </w:rPr>
              <w:t>Worker</w:t>
            </w:r>
          </w:p>
        </w:tc>
        <w:tc>
          <w:tcPr>
            <w:tcW w:type="dxa" w:w="7488"/>
            <w:tcMar>
              <w:top w:w="100" w:type="dxa"/>
              <w:start w:w="120" w:type="dxa"/>
              <w:bottom w:w="100" w:type="dxa"/>
              <w:end w:w="120" w:type="dxa"/>
            </w:tcMar>
            <w:vAlign w:val="center"/>
          </w:tcPr>
          <w:p>
            <w:r>
              <w:rPr>
                <w:rFonts w:ascii="Arial" w:hAnsi="Arial"/>
                <w:sz w:val="17"/>
              </w:rPr>
              <w:t>A service or integration that starts and finishes executions through the API.</w:t>
            </w:r>
          </w:p>
        </w:tc>
      </w:tr>
      <w:tr>
        <w:tc>
          <w:tcPr>
            <w:tcW w:type="dxa" w:w="1944"/>
            <w:tcMar>
              <w:top w:w="100" w:type="dxa"/>
              <w:start w:w="120" w:type="dxa"/>
              <w:bottom w:w="100" w:type="dxa"/>
              <w:end w:w="120" w:type="dxa"/>
            </w:tcMar>
            <w:vAlign w:val="center"/>
          </w:tcPr>
          <w:p>
            <w:r>
              <w:rPr>
                <w:rFonts w:ascii="Arial" w:hAnsi="Arial"/>
                <w:sz w:val="17"/>
              </w:rPr>
              <w:t>Running</w:t>
            </w:r>
          </w:p>
        </w:tc>
        <w:tc>
          <w:tcPr>
            <w:tcW w:type="dxa" w:w="7488"/>
            <w:tcMar>
              <w:top w:w="100" w:type="dxa"/>
              <w:start w:w="120" w:type="dxa"/>
              <w:bottom w:w="100" w:type="dxa"/>
              <w:end w:w="120" w:type="dxa"/>
            </w:tcMar>
            <w:vAlign w:val="center"/>
          </w:tcPr>
          <w:p>
            <w:r>
              <w:rPr>
                <w:rFonts w:ascii="Arial" w:hAnsi="Arial"/>
                <w:sz w:val="17"/>
              </w:rPr>
              <w:t>The execution started and has not been completed.</w:t>
            </w:r>
          </w:p>
        </w:tc>
      </w:tr>
      <w:tr>
        <w:tc>
          <w:tcPr>
            <w:tcW w:type="dxa" w:w="1944"/>
            <w:tcMar>
              <w:top w:w="100" w:type="dxa"/>
              <w:start w:w="120" w:type="dxa"/>
              <w:bottom w:w="100" w:type="dxa"/>
              <w:end w:w="120" w:type="dxa"/>
            </w:tcMar>
            <w:vAlign w:val="center"/>
          </w:tcPr>
          <w:p>
            <w:r>
              <w:rPr>
                <w:rFonts w:ascii="Arial" w:hAnsi="Arial"/>
                <w:sz w:val="17"/>
              </w:rPr>
              <w:t>Succeeded</w:t>
            </w:r>
          </w:p>
        </w:tc>
        <w:tc>
          <w:tcPr>
            <w:tcW w:type="dxa" w:w="7488"/>
            <w:tcMar>
              <w:top w:w="100" w:type="dxa"/>
              <w:start w:w="120" w:type="dxa"/>
              <w:bottom w:w="100" w:type="dxa"/>
              <w:end w:w="120" w:type="dxa"/>
            </w:tcMar>
            <w:vAlign w:val="center"/>
          </w:tcPr>
          <w:p>
            <w:r>
              <w:rPr>
                <w:rFonts w:ascii="Arial" w:hAnsi="Arial"/>
                <w:sz w:val="17"/>
              </w:rPr>
              <w:t>The execution completed successfully.</w:t>
            </w:r>
          </w:p>
        </w:tc>
      </w:tr>
      <w:tr>
        <w:tc>
          <w:tcPr>
            <w:tcW w:type="dxa" w:w="1944"/>
            <w:tcMar>
              <w:top w:w="100" w:type="dxa"/>
              <w:start w:w="120" w:type="dxa"/>
              <w:bottom w:w="100" w:type="dxa"/>
              <w:end w:w="120" w:type="dxa"/>
            </w:tcMar>
            <w:vAlign w:val="center"/>
          </w:tcPr>
          <w:p>
            <w:r>
              <w:rPr>
                <w:rFonts w:ascii="Arial" w:hAnsi="Arial"/>
                <w:sz w:val="17"/>
              </w:rPr>
              <w:t>Failed</w:t>
            </w:r>
          </w:p>
        </w:tc>
        <w:tc>
          <w:tcPr>
            <w:tcW w:type="dxa" w:w="7488"/>
            <w:tcMar>
              <w:top w:w="100" w:type="dxa"/>
              <w:start w:w="120" w:type="dxa"/>
              <w:bottom w:w="100" w:type="dxa"/>
              <w:end w:w="120" w:type="dxa"/>
            </w:tcMar>
            <w:vAlign w:val="center"/>
          </w:tcPr>
          <w:p>
            <w:r>
              <w:rPr>
                <w:rFonts w:ascii="Arial" w:hAnsi="Arial"/>
                <w:sz w:val="17"/>
              </w:rPr>
              <w:t>The execution ended with an error and must include a message.</w:t>
            </w:r>
          </w:p>
        </w:tc>
      </w:tr>
      <w:tr>
        <w:tc>
          <w:tcPr>
            <w:tcW w:type="dxa" w:w="1944"/>
            <w:tcMar>
              <w:top w:w="100" w:type="dxa"/>
              <w:start w:w="120" w:type="dxa"/>
              <w:bottom w:w="100" w:type="dxa"/>
              <w:end w:w="120" w:type="dxa"/>
            </w:tcMar>
            <w:vAlign w:val="center"/>
          </w:tcPr>
          <w:p>
            <w:r>
              <w:rPr>
                <w:rFonts w:ascii="Arial" w:hAnsi="Arial"/>
                <w:sz w:val="17"/>
              </w:rPr>
              <w:t>Cancelled</w:t>
            </w:r>
          </w:p>
        </w:tc>
        <w:tc>
          <w:tcPr>
            <w:tcW w:type="dxa" w:w="7488"/>
            <w:tcMar>
              <w:top w:w="100" w:type="dxa"/>
              <w:start w:w="120" w:type="dxa"/>
              <w:bottom w:w="100" w:type="dxa"/>
              <w:end w:w="120" w:type="dxa"/>
            </w:tcMar>
            <w:vAlign w:val="center"/>
          </w:tcPr>
          <w:p>
            <w:r>
              <w:rPr>
                <w:rFonts w:ascii="Arial" w:hAnsi="Arial"/>
                <w:sz w:val="17"/>
              </w:rPr>
              <w:t>The execution was cancelled before completion.</w:t>
            </w:r>
          </w:p>
        </w:tc>
      </w:tr>
      <w:tr>
        <w:tc>
          <w:tcPr>
            <w:tcW w:type="dxa" w:w="1944"/>
            <w:tcMar>
              <w:top w:w="100" w:type="dxa"/>
              <w:start w:w="120" w:type="dxa"/>
              <w:bottom w:w="100" w:type="dxa"/>
              <w:end w:w="120" w:type="dxa"/>
            </w:tcMar>
            <w:vAlign w:val="center"/>
          </w:tcPr>
          <w:p>
            <w:r>
              <w:rPr>
                <w:rFonts w:ascii="Arial" w:hAnsi="Arial"/>
                <w:sz w:val="17"/>
              </w:rPr>
              <w:t>Overdue</w:t>
            </w:r>
          </w:p>
        </w:tc>
        <w:tc>
          <w:tcPr>
            <w:tcW w:type="dxa" w:w="7488"/>
            <w:tcMar>
              <w:top w:w="100" w:type="dxa"/>
              <w:start w:w="120" w:type="dxa"/>
              <w:bottom w:w="100" w:type="dxa"/>
              <w:end w:w="120" w:type="dxa"/>
            </w:tcMar>
            <w:vAlign w:val="center"/>
          </w:tcPr>
          <w:p>
            <w:r>
              <w:rPr>
                <w:rFonts w:ascii="Arial" w:hAnsi="Arial"/>
                <w:sz w:val="17"/>
              </w:rPr>
              <w:t>A Running execution that exceeded the configured threshold.</w:t>
            </w:r>
          </w:p>
        </w:tc>
      </w:tr>
      <w:tr>
        <w:tc>
          <w:tcPr>
            <w:tcW w:type="dxa" w:w="1944"/>
            <w:tcMar>
              <w:top w:w="100" w:type="dxa"/>
              <w:start w:w="120" w:type="dxa"/>
              <w:bottom w:w="100" w:type="dxa"/>
              <w:end w:w="120" w:type="dxa"/>
            </w:tcMar>
            <w:vAlign w:val="center"/>
          </w:tcPr>
          <w:p>
            <w:r>
              <w:rPr>
                <w:rFonts w:ascii="Arial" w:hAnsi="Arial"/>
                <w:sz w:val="17"/>
              </w:rPr>
              <w:t>InstallationId</w:t>
            </w:r>
          </w:p>
        </w:tc>
        <w:tc>
          <w:tcPr>
            <w:tcW w:type="dxa" w:w="7488"/>
            <w:tcMar>
              <w:top w:w="100" w:type="dxa"/>
              <w:start w:w="120" w:type="dxa"/>
              <w:bottom w:w="100" w:type="dxa"/>
              <w:end w:w="120" w:type="dxa"/>
            </w:tcMar>
            <w:vAlign w:val="center"/>
          </w:tcPr>
          <w:p>
            <w:r>
              <w:rPr>
                <w:rFonts w:ascii="Arial" w:hAnsi="Arial"/>
                <w:sz w:val="17"/>
              </w:rPr>
              <w:t>A stable identifier used to bind a commercial license to an installation.</w:t>
            </w:r>
          </w:p>
        </w:tc>
      </w:tr>
    </w:tbl>
    <w:p>
      <w:pPr>
        <w:spacing w:after="0"/>
      </w:pPr>
    </w:p>
    <w:p>
      <w:pPr>
        <w:pStyle w:val="Heading1"/>
      </w:pPr>
      <w:r>
        <w:t>3. Requirements</w:t>
      </w:r>
    </w:p>
    <w:p>
      <w:pPr>
        <w:pStyle w:val="ListBullet"/>
        <w:spacing w:after="40"/>
      </w:pPr>
      <w:r>
        <w:rPr>
          <w:rFonts w:ascii="Arial" w:hAnsi="Arial"/>
        </w:rPr>
        <w:t>Windows x64 with Windows service support.</w:t>
      </w:r>
    </w:p>
    <w:p>
      <w:pPr>
        <w:pStyle w:val="ListBullet"/>
        <w:spacing w:after="40"/>
      </w:pPr>
      <w:r>
        <w:rPr>
          <w:rFonts w:ascii="Arial" w:hAnsi="Arial"/>
        </w:rPr>
        <w:t>SQL Server LocalDB, Developer, Standard, Enterprise, or another compatible edition.</w:t>
      </w:r>
    </w:p>
    <w:p>
      <w:pPr>
        <w:pStyle w:val="ListBullet"/>
        <w:spacing w:after="40"/>
      </w:pPr>
      <w:r>
        <w:rPr>
          <w:rFonts w:ascii="Arial" w:hAnsi="Arial"/>
        </w:rPr>
        <w:t>SSMS or another SQL client to run Database\Install.sql.</w:t>
      </w:r>
    </w:p>
    <w:p>
      <w:pPr>
        <w:pStyle w:val="ListBullet"/>
        <w:spacing w:after="40"/>
      </w:pPr>
      <w:r>
        <w:rPr>
          <w:rFonts w:ascii="Arial" w:hAnsi="Arial"/>
        </w:rPr>
        <w:t>Local administrator rights to register services.</w:t>
      </w:r>
    </w:p>
    <w:p>
      <w:pPr>
        <w:pStyle w:val="ListBullet"/>
        <w:spacing w:after="40"/>
      </w:pPr>
      <w:r>
        <w:rPr>
          <w:rFonts w:ascii="Arial" w:hAnsi="Arial"/>
        </w:rPr>
        <w:t>A service identity with access to the SqlWorkflowMonitor database.</w:t>
      </w:r>
    </w:p>
    <w:p>
      <w:pPr>
        <w:pStyle w:val="ListBullet"/>
        <w:spacing w:after="40"/>
      </w:pPr>
      <w:r>
        <w:rPr>
          <w:rFonts w:ascii="Arial" w:hAnsi="Arial"/>
        </w:rPr>
        <w:t>Visual Studio, the .NET SDK, and the .NET runtime are not required: Web and Worker are self-contained.</w:t>
      </w:r>
    </w:p>
    <w:p>
      <w:r>
        <w:br w:type="page"/>
      </w:r>
    </w:p>
    <w:p>
      <w:pPr>
        <w:spacing w:before="2000"/>
      </w:pPr>
      <w:r>
        <w:rPr>
          <w:rFonts w:ascii="Arial" w:hAnsi="Arial"/>
          <w:b/>
          <w:color w:val="1267E5"/>
          <w:sz w:val="20"/>
        </w:rPr>
        <w:t>PART I</w:t>
      </w:r>
    </w:p>
    <w:p>
      <w:pPr>
        <w:pStyle w:val="Heading1"/>
        <w:spacing w:before="80"/>
      </w:pPr>
      <w:r>
        <w:t>Preparation and installation</w:t>
      </w:r>
    </w:p>
    <w:p/>
    <w:p>
      <w:pPr>
        <w:pStyle w:val="Heading1"/>
      </w:pPr>
      <w:r>
        <w:t>4. Package structure</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rPr>
                <w:rFonts w:ascii="Consolas" w:hAnsi="Consolas"/>
                <w:color w:val="10233F"/>
                <w:sz w:val="15"/>
              </w:rPr>
              <w:t>SqlWorkflowMonitor-1.1.0-&lt;Edition&gt;-win-x64</w:t>
              <w:br/>
              <w:t>├── Web</w:t>
              <w:br/>
              <w:t>├── Worker</w:t>
              <w:br/>
              <w:t>├── Database</w:t>
              <w:br/>
              <w:t>│   └── Install.sql</w:t>
              <w:br/>
              <w:t>├── Configuration</w:t>
              <w:br/>
              <w:t>│   ├── web-appsettings.example.json</w:t>
              <w:br/>
              <w:t>│   └── worker-appsettings.example.json</w:t>
              <w:br/>
              <w:t>├── License</w:t>
              <w:br/>
              <w:t>│   └── README.txt</w:t>
              <w:br/>
              <w:t>├── Scripts</w:t>
              <w:br/>
              <w:t>│   ├── Install-Services.ps1</w:t>
              <w:br/>
              <w:t>│   └── Uninstall-Services.ps1</w:t>
              <w:br/>
              <w:t>├── Legal</w:t>
              <w:br/>
              <w:t>│   ├── EULA-ES.txt</w:t>
              <w:br/>
              <w:t>│   ├── EULA-EN.txt</w:t>
              <w:br/>
              <w:t>│   └── THIRD-PARTY-NOTICES.txt</w:t>
              <w:br/>
              <w:t>├── Documentation</w:t>
              <w:br/>
              <w:t>├── RELEASE-NOTES.md</w:t>
              <w:br/>
              <w:t>└── VERSION.txt</w:t>
            </w:r>
          </w:p>
        </w:tc>
      </w:tr>
    </w:tbl>
    <w:p>
      <w:pPr>
        <w:spacing w:after="0"/>
      </w:pPr>
    </w:p>
    <w:tbl>
      <w:tblPr>
        <w:tblW w:type="auto" w:w="0"/>
        <w:jc w:val="center"/>
        <w:tblLayout w:type="fixed"/>
        <w:tblLook w:firstColumn="1" w:firstRow="1" w:lastColumn="0" w:lastRow="0" w:noHBand="0" w:noVBand="1" w:val="04A0"/>
      </w:tblPr>
      <w:tblGrid>
        <w:gridCol w:w="9576"/>
      </w:tblGrid>
      <w:tr>
        <w:tc>
          <w:tcPr>
            <w:tcW w:type="dxa" w:w="10080"/>
            <w:shd w:fill="FFF3CD"/>
            <w:tcMar>
              <w:top w:w="150" w:type="dxa"/>
              <w:start w:w="180" w:type="dxa"/>
              <w:bottom w:w="150" w:type="dxa"/>
              <w:end w:w="180" w:type="dxa"/>
            </w:tcMar>
          </w:tcPr>
          <w:p>
            <w:r>
              <w:rPr>
                <w:rFonts w:ascii="Arial" w:hAnsi="Arial"/>
                <w:b/>
                <w:color w:val="10233F"/>
                <w:sz w:val="18"/>
              </w:rPr>
              <w:t>Important</w:t>
            </w:r>
          </w:p>
          <w:p>
            <w:pPr>
              <w:spacing w:after="0"/>
            </w:pPr>
            <w:r>
              <w:rPr>
                <w:rFonts w:ascii="Arial" w:hAnsi="Arial"/>
                <w:color w:val="24364B"/>
                <w:sz w:val="18"/>
              </w:rPr>
              <w:t>Do not deliver development folders such as .git, .vs, bin, obj, private keys, LicenseGenerator, or appsettings.Development.json files to a customer.</w:t>
            </w:r>
          </w:p>
        </w:tc>
      </w:tr>
    </w:tbl>
    <w:p>
      <w:pPr>
        <w:spacing w:after="0"/>
      </w:pPr>
    </w:p>
    <w:p>
      <w:pPr>
        <w:pStyle w:val="Heading1"/>
      </w:pPr>
      <w:r>
        <w:t>5. Verify the checksum</w:t>
      </w:r>
    </w:p>
    <w:p>
      <w:r>
        <w:rPr>
          <w:rFonts w:ascii="Arial" w:hAnsi="Arial"/>
          <w:i w:val="0"/>
        </w:rPr>
        <w:t>Before extracting the ZIP, verify that its SHA-256 matches the accompanying .sha256.txt file.</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rPr>
                <w:rFonts w:ascii="Consolas" w:hAnsi="Consolas"/>
                <w:color w:val="10233F"/>
                <w:sz w:val="15"/>
              </w:rPr>
              <w:t>$zip = ".\SqlWorkflowMonitor-1.1.0-Demo-win-x64.zip"</w:t>
              <w:br/>
              <w:t>$actual = (Get-FileHash $zip -Algorithm SHA256).Hash.ToLowerInvariant()</w:t>
              <w:br/>
              <w:t>$expected = ((Get-Content "$zip.sha256.txt" -Raw).Trim() -split "\s+")[0]</w:t>
              <w:br/>
              <w:t>$actual -eq $expected</w:t>
            </w:r>
          </w:p>
        </w:tc>
      </w:tr>
    </w:tbl>
    <w:p>
      <w:pPr>
        <w:spacing w:after="0"/>
      </w:pPr>
    </w:p>
    <w:p>
      <w:r>
        <w:rPr>
          <w:rFonts w:ascii="Arial" w:hAnsi="Arial"/>
          <w:i w:val="0"/>
        </w:rPr>
        <w:t>Expected result: True.</w:t>
      </w:r>
    </w:p>
    <w:p>
      <w:pPr>
        <w:pStyle w:val="Heading1"/>
      </w:pPr>
      <w:r>
        <w:t>6. Extract and locate the product</w:t>
      </w:r>
    </w:p>
    <w:p>
      <w:pPr>
        <w:spacing w:after="60"/>
        <w:ind w:left="29" w:hanging="29"/>
      </w:pPr>
      <w:r>
        <w:rPr>
          <w:rFonts w:ascii="Arial" w:hAnsi="Arial"/>
          <w:b/>
          <w:color w:val="10233F"/>
        </w:rPr>
        <w:t xml:space="preserve">1.  </w:t>
      </w:r>
      <w:r>
        <w:rPr>
          <w:rFonts w:ascii="Arial" w:hAnsi="Arial"/>
        </w:rPr>
        <w:t>Extract the ZIP to a stable location, for example C:\SqlWorkflowMonitor\App.</w:t>
      </w:r>
    </w:p>
    <w:p>
      <w:pPr>
        <w:spacing w:after="60"/>
        <w:ind w:left="29" w:hanging="29"/>
      </w:pPr>
      <w:r>
        <w:rPr>
          <w:rFonts w:ascii="Arial" w:hAnsi="Arial"/>
          <w:b/>
          <w:color w:val="10233F"/>
        </w:rPr>
        <w:t xml:space="preserve">2.  </w:t>
      </w:r>
      <w:r>
        <w:rPr>
          <w:rFonts w:ascii="Arial" w:hAnsi="Arial"/>
        </w:rPr>
        <w:t>Do not run services from a temporary folder or the Downloads directory.</w:t>
      </w:r>
    </w:p>
    <w:p>
      <w:pPr>
        <w:spacing w:after="60"/>
        <w:ind w:left="29" w:hanging="29"/>
      </w:pPr>
      <w:r>
        <w:rPr>
          <w:rFonts w:ascii="Arial" w:hAnsi="Arial"/>
          <w:b/>
          <w:color w:val="10233F"/>
        </w:rPr>
        <w:t xml:space="preserve">3.  </w:t>
      </w:r>
      <w:r>
        <w:rPr>
          <w:rFonts w:ascii="Arial" w:hAnsi="Arial"/>
        </w:rPr>
        <w:t>Keep a copy of the ZIP and checksum for recovery.</w:t>
      </w:r>
    </w:p>
    <w:p>
      <w:pPr>
        <w:spacing w:after="60"/>
        <w:ind w:left="29" w:hanging="29"/>
      </w:pPr>
      <w:r>
        <w:rPr>
          <w:rFonts w:ascii="Arial" w:hAnsi="Arial"/>
          <w:b/>
          <w:color w:val="10233F"/>
        </w:rPr>
        <w:t xml:space="preserve">4.  </w:t>
      </w:r>
      <w:r>
        <w:rPr>
          <w:rFonts w:ascii="Arial" w:hAnsi="Arial"/>
        </w:rPr>
        <w:t>Create a backup before replacing an existing installation.</w:t>
      </w:r>
    </w:p>
    <w:p>
      <w:pPr>
        <w:pStyle w:val="Heading1"/>
      </w:pPr>
      <w:r>
        <w:t>7. Create the database</w:t>
      </w:r>
    </w:p>
    <w:p>
      <w:pPr>
        <w:spacing w:after="60"/>
        <w:ind w:left="29" w:hanging="29"/>
      </w:pPr>
      <w:r>
        <w:rPr>
          <w:rFonts w:ascii="Arial" w:hAnsi="Arial"/>
          <w:b/>
          <w:color w:val="10233F"/>
        </w:rPr>
        <w:t xml:space="preserve">1.  </w:t>
      </w:r>
      <w:r>
        <w:rPr>
          <w:rFonts w:ascii="Arial" w:hAnsi="Arial"/>
        </w:rPr>
        <w:t>Open SSMS with an authorized account.</w:t>
      </w:r>
    </w:p>
    <w:p>
      <w:pPr>
        <w:spacing w:after="60"/>
        <w:ind w:left="29" w:hanging="29"/>
      </w:pPr>
      <w:r>
        <w:rPr>
          <w:rFonts w:ascii="Arial" w:hAnsi="Arial"/>
          <w:b/>
          <w:color w:val="10233F"/>
        </w:rPr>
        <w:t xml:space="preserve">2.  </w:t>
      </w:r>
      <w:r>
        <w:rPr>
          <w:rFonts w:ascii="Arial" w:hAnsi="Arial"/>
        </w:rPr>
        <w:t>Open Database\Install.sql.</w:t>
      </w:r>
    </w:p>
    <w:p>
      <w:pPr>
        <w:spacing w:after="60"/>
        <w:ind w:left="29" w:hanging="29"/>
      </w:pPr>
      <w:r>
        <w:rPr>
          <w:rFonts w:ascii="Arial" w:hAnsi="Arial"/>
          <w:b/>
          <w:color w:val="10233F"/>
        </w:rPr>
        <w:t xml:space="preserve">3.  </w:t>
      </w:r>
      <w:r>
        <w:rPr>
          <w:rFonts w:ascii="Arial" w:hAnsi="Arial"/>
        </w:rPr>
        <w:t>Review the target server and execute the entire script.</w:t>
      </w:r>
    </w:p>
    <w:p>
      <w:pPr>
        <w:spacing w:after="60"/>
        <w:ind w:left="29" w:hanging="29"/>
      </w:pPr>
      <w:r>
        <w:rPr>
          <w:rFonts w:ascii="Arial" w:hAnsi="Arial"/>
          <w:b/>
          <w:color w:val="10233F"/>
        </w:rPr>
        <w:t xml:space="preserve">4.  </w:t>
      </w:r>
      <w:r>
        <w:rPr>
          <w:rFonts w:ascii="Arial" w:hAnsi="Arial"/>
        </w:rPr>
        <w:t>Confirm that SqlWorkflowMonitor was created with tables, indexes, constraints, seed data, and stored procedures.</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rPr>
                <w:rFonts w:ascii="Consolas" w:hAnsi="Consolas"/>
                <w:color w:val="10233F"/>
                <w:sz w:val="15"/>
              </w:rPr>
              <w:t>USE SqlWorkflowMonitor;</w:t>
              <w:br/>
              <w:t>GO</w:t>
              <w:br/>
              <w:t>SELECT name FROM sys.tables ORDER BY name;</w:t>
              <w:br/>
              <w:t>SELECT name FROM sys.procedures ORDER BY name;</w:t>
            </w:r>
          </w:p>
        </w:tc>
      </w:tr>
    </w:tbl>
    <w:p>
      <w:pPr>
        <w:spacing w:after="0"/>
      </w:pPr>
    </w:p>
    <w:tbl>
      <w:tblPr>
        <w:tblW w:type="auto" w:w="0"/>
        <w:jc w:val="center"/>
        <w:tblLayout w:type="fixed"/>
        <w:tblLook w:firstColumn="1" w:firstRow="1" w:lastColumn="0" w:lastRow="0" w:noHBand="0" w:noVBand="1" w:val="04A0"/>
      </w:tblPr>
      <w:tblGrid>
        <w:gridCol w:w="9576"/>
      </w:tblGrid>
      <w:tr>
        <w:tc>
          <w:tcPr>
            <w:tcW w:type="dxa" w:w="10080"/>
            <w:shd w:fill="EAF2FF"/>
            <w:tcMar>
              <w:top w:w="150" w:type="dxa"/>
              <w:start w:w="180" w:type="dxa"/>
              <w:bottom w:w="150" w:type="dxa"/>
              <w:end w:w="180" w:type="dxa"/>
            </w:tcMar>
          </w:tcPr>
          <w:p>
            <w:r>
              <w:rPr>
                <w:rFonts w:ascii="Arial" w:hAnsi="Arial"/>
                <w:b/>
                <w:color w:val="1267E5"/>
                <w:sz w:val="18"/>
              </w:rPr>
              <w:t>Development installations</w:t>
            </w:r>
          </w:p>
          <w:p>
            <w:pPr>
              <w:spacing w:after="0"/>
            </w:pPr>
            <w:r>
              <w:rPr>
                <w:rFonts w:ascii="Arial" w:hAnsi="Arial"/>
                <w:color w:val="24364B"/>
                <w:sz w:val="18"/>
              </w:rPr>
              <w:t>The development solution uses SqlWorkflowMonitor_Dev. The commercial package normalizes the installer and example configurations to use SqlWorkflowMonitor.</w:t>
            </w:r>
          </w:p>
        </w:tc>
      </w:tr>
    </w:tbl>
    <w:p>
      <w:pPr>
        <w:spacing w:after="0"/>
      </w:pPr>
    </w:p>
    <w:p>
      <w:r>
        <w:br w:type="page"/>
      </w:r>
    </w:p>
    <w:p>
      <w:pPr>
        <w:spacing w:before="2000"/>
      </w:pPr>
      <w:r>
        <w:rPr>
          <w:rFonts w:ascii="Arial" w:hAnsi="Arial"/>
          <w:b/>
          <w:color w:val="1267E5"/>
          <w:sz w:val="20"/>
        </w:rPr>
        <w:t>PART II</w:t>
      </w:r>
    </w:p>
    <w:p>
      <w:pPr>
        <w:pStyle w:val="Heading1"/>
        <w:spacing w:before="80"/>
      </w:pPr>
      <w:r>
        <w:t>Configuration and licensing</w:t>
      </w:r>
    </w:p>
    <w:p/>
    <w:p>
      <w:pPr>
        <w:pStyle w:val="Heading1"/>
      </w:pPr>
      <w:r>
        <w:t>8. Configure the Web application</w:t>
      </w:r>
    </w:p>
    <w:p>
      <w:r>
        <w:rPr>
          <w:rFonts w:ascii="Arial" w:hAnsi="Arial"/>
          <w:i w:val="0"/>
        </w:rPr>
        <w:t>Edit Web\appsettings.json. Configuration\web-appsettings.example.json can be used as a starting point.</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rPr>
                <w:rFonts w:ascii="Consolas" w:hAnsi="Consolas"/>
                <w:color w:val="10233F"/>
                <w:sz w:val="15"/>
              </w:rPr>
              <w:t>"ConnectionStrings": {</w:t>
              <w:br/>
              <w:t xml:space="preserve">  "WorkflowMonitor": "Server=YOUR_SQL_SERVER;Database=SqlWorkflowMonitor;Integrated Security=True;Encrypt=True;TrustServerCertificate=True;"</w:t>
              <w:br/>
              <w:t>},</w:t>
              <w:br/>
              <w:t>"Licensing": {</w:t>
              <w:br/>
              <w:t xml:space="preserve">  "LicenseFilePath": "License/sqlworkflowmonitor.lic",</w:t>
              <w:br/>
              <w:t xml:space="preserve">  "PublicKeyFilePath": "Licensing/Keys/sqlworkflowmonitor-public.pem"</w:t>
              <w:br/>
              <w:t>},</w:t>
              <w:br/>
              <w:t>"Kestrel": {</w:t>
              <w:br/>
              <w:t xml:space="preserve">  "Endpoints": { "Http": { "Url": "http://0.0.0.0:5080" } }</w:t>
              <w:br/>
              <w:t>}</w:t>
            </w:r>
          </w:p>
        </w:tc>
      </w:tr>
    </w:tbl>
    <w:p>
      <w:pPr>
        <w:spacing w:after="0"/>
      </w:pPr>
    </w:p>
    <w:p>
      <w:pPr>
        <w:pStyle w:val="ListBullet"/>
        <w:spacing w:after="40"/>
      </w:pPr>
      <w:r>
        <w:rPr>
          <w:rFonts w:ascii="Arial" w:hAnsi="Arial"/>
          <w:b/>
        </w:rPr>
        <w:t xml:space="preserve">Server: </w:t>
      </w:r>
      <w:r>
        <w:rPr>
          <w:rFonts w:ascii="Arial" w:hAnsi="Arial"/>
        </w:rPr>
        <w:t>replace YOUR_SQL_SERVER with the actual SQL Server instance.</w:t>
      </w:r>
    </w:p>
    <w:p>
      <w:pPr>
        <w:pStyle w:val="ListBullet"/>
        <w:spacing w:after="40"/>
      </w:pPr>
      <w:r>
        <w:rPr>
          <w:rFonts w:ascii="Arial" w:hAnsi="Arial"/>
          <w:b/>
        </w:rPr>
        <w:t xml:space="preserve">Integrated Security: </w:t>
      </w:r>
      <w:r>
        <w:rPr>
          <w:rFonts w:ascii="Arial" w:hAnsi="Arial"/>
        </w:rPr>
        <w:t>the Web service identity must be authorized in SQL Server.</w:t>
      </w:r>
    </w:p>
    <w:p>
      <w:pPr>
        <w:pStyle w:val="ListBullet"/>
        <w:spacing w:after="40"/>
      </w:pPr>
      <w:r>
        <w:rPr>
          <w:rFonts w:ascii="Arial" w:hAnsi="Arial"/>
          <w:b/>
        </w:rPr>
        <w:t xml:space="preserve">Port 5080: </w:t>
      </w:r>
      <w:r>
        <w:rPr>
          <w:rFonts w:ascii="Arial" w:hAnsi="Arial"/>
        </w:rPr>
        <w:t>0.0.0.0 listens on all interfaces; restrict the firewall or switch to localhost when appropriate.</w:t>
      </w:r>
    </w:p>
    <w:p>
      <w:pPr>
        <w:pStyle w:val="ListBullet"/>
        <w:spacing w:after="40"/>
      </w:pPr>
      <w:r>
        <w:rPr>
          <w:rFonts w:ascii="Arial" w:hAnsi="Arial"/>
          <w:b/>
        </w:rPr>
        <w:t>Security: configure Security:Admin:Username, Security:Admin:PasswordHash, and Security:Admin:PasswordSalt for dashboard access. Configure Security:ApiKey and use the same key in Worker WorkflowMonitorApi:ApiKey. Do not store real passwords, hashes, salts, or API keys in versioned or unprotected distribution files.</w:t>
      </w:r>
      <w:r>
        <w:rPr>
          <w:rFonts w:ascii="Arial" w:hAnsi="Arial"/>
        </w:rPr>
      </w:r>
    </w:p>
    <w:p>
      <w:pPr>
        <w:pStyle w:val="Heading1"/>
      </w:pPr>
      <w:r>
        <w:t>9. Configure the Worker</w:t>
      </w:r>
    </w:p>
    <w:p>
      <w:r>
        <w:rPr>
          <w:rFonts w:ascii="Arial" w:hAnsi="Arial"/>
          <w:i w:val="0"/>
        </w:rPr>
        <w:t>Edit Worker\appsettings.json. Configuration\worker-appsettings.example.json can be used as a starting point.</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rPr>
                <w:rFonts w:ascii="Consolas" w:hAnsi="Consolas"/>
                <w:color w:val="10233F"/>
                <w:sz w:val="15"/>
              </w:rPr>
              <w:t>"WorkflowMonitorApi": { "BaseUrl": "http://localhost:5080" },</w:t>
              <w:br/>
              <w:t>"Worker": { "Id": "CustomerCsvWorker" },</w:t>
              <w:br/>
              <w:t>"CsvImport": {</w:t>
              <w:br/>
              <w:t xml:space="preserve">  "ProcessId": 1,</w:t>
              <w:br/>
              <w:t xml:space="preserve">  "FileName": "customers.csv",</w:t>
              <w:br/>
              <w:t xml:space="preserve">  "InputFolder": "C:\\SqlWorkflowMonitor\\Data\\Input",</w:t>
              <w:br/>
              <w:t xml:space="preserve">  "ProcessedFolder": "C:\\SqlWorkflowMonitor\\Data\\Processed",</w:t>
              <w:br/>
              <w:t xml:space="preserve">  "ErrorFolder": "C:\\SqlWorkflowMonitor\\Data\\Error",</w:t>
              <w:br/>
              <w:t xml:space="preserve">  "IntervalSeconds": 60</w:t>
              <w:br/>
              <w:t>}</w:t>
            </w:r>
          </w:p>
        </w:tc>
      </w:tr>
    </w:tbl>
    <w:p>
      <w:pPr>
        <w:spacing w:after="0"/>
      </w:pPr>
    </w:p>
    <w:p>
      <w:pPr>
        <w:pStyle w:val="ListBullet"/>
        <w:spacing w:after="40"/>
      </w:pPr>
      <w:r>
        <w:rPr>
          <w:rFonts w:ascii="Arial" w:hAnsi="Arial"/>
        </w:rPr>
        <w:t>Keep Worker:Id stable. Capacity is calculated by distinct WorkerId values.</w:t>
      </w:r>
    </w:p>
    <w:p>
      <w:pPr>
        <w:pStyle w:val="ListBullet"/>
        <w:spacing w:after="40"/>
      </w:pPr>
      <w:r>
        <w:rPr>
          <w:rFonts w:ascii="Arial" w:hAnsi="Arial"/>
        </w:rPr>
        <w:t>ProcessId must exist and be active in dbo.Processes.</w:t>
      </w:r>
    </w:p>
    <w:p>
      <w:pPr>
        <w:pStyle w:val="ListBullet"/>
        <w:spacing w:after="40"/>
      </w:pPr>
      <w:r>
        <w:rPr>
          <w:rFonts w:ascii="Arial" w:hAnsi="Arial"/>
        </w:rPr>
        <w:t>The Worker must point to the actual Web service URL and send the same API key configured by the Web application.</w:t>
      </w:r>
    </w:p>
    <w:p>
      <w:pPr>
        <w:pStyle w:val="ListBullet"/>
        <w:spacing w:after="40"/>
      </w:pPr>
      <w:r>
        <w:rPr>
          <w:rFonts w:ascii="Arial" w:hAnsi="Arial"/>
        </w:rPr>
        <w:t>Input, Processed, and Error folders are created by the installation script.</w:t>
      </w:r>
    </w:p>
    <w:p>
      <w:r>
        <w:br w:type="page"/>
      </w:r>
    </w:p>
    <w:p>
      <w:pPr>
        <w:pStyle w:val="Heading1"/>
      </w:pPr>
      <w:r>
        <w:t>10. Editions and license file</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84"/>
            <w:shd w:fill="D9E2F3"/>
            <w:tcMar>
              <w:top w:w="100" w:type="dxa"/>
              <w:start w:w="120" w:type="dxa"/>
              <w:bottom w:w="100" w:type="dxa"/>
              <w:end w:w="120" w:type="dxa"/>
            </w:tcMar>
            <w:vAlign w:val="center"/>
          </w:tcPr>
          <w:p>
            <w:r>
              <w:rPr>
                <w:rFonts w:ascii="Arial" w:hAnsi="Arial"/>
                <w:b/>
                <w:color w:val="10233F"/>
                <w:sz w:val="17"/>
              </w:rPr>
              <w:t>Edition</w:t>
            </w:r>
          </w:p>
        </w:tc>
        <w:tc>
          <w:tcPr>
            <w:tcW w:type="dxa" w:w="3600"/>
            <w:shd w:fill="D9E2F3"/>
            <w:tcMar>
              <w:top w:w="100" w:type="dxa"/>
              <w:start w:w="120" w:type="dxa"/>
              <w:bottom w:w="100" w:type="dxa"/>
              <w:end w:w="120" w:type="dxa"/>
            </w:tcMar>
            <w:vAlign w:val="center"/>
          </w:tcPr>
          <w:p>
            <w:r>
              <w:rPr>
                <w:rFonts w:ascii="Arial" w:hAnsi="Arial"/>
                <w:b/>
                <w:color w:val="10233F"/>
                <w:sz w:val="17"/>
              </w:rPr>
              <w:t>Initial capacity</w:t>
            </w:r>
          </w:p>
        </w:tc>
        <w:tc>
          <w:tcPr>
            <w:tcW w:type="dxa" w:w="4248"/>
            <w:shd w:fill="D9E2F3"/>
            <w:tcMar>
              <w:top w:w="100" w:type="dxa"/>
              <w:start w:w="120" w:type="dxa"/>
              <w:bottom w:w="100" w:type="dxa"/>
              <w:end w:w="120" w:type="dxa"/>
            </w:tcMar>
            <w:vAlign w:val="center"/>
          </w:tcPr>
          <w:p>
            <w:r>
              <w:rPr>
                <w:rFonts w:ascii="Arial" w:hAnsi="Arial"/>
                <w:b/>
                <w:color w:val="10233F"/>
                <w:sz w:val="17"/>
              </w:rPr>
              <w:t>License</w:t>
            </w:r>
          </w:p>
        </w:tc>
      </w:tr>
      <w:tr>
        <w:tc>
          <w:tcPr>
            <w:tcW w:type="dxa" w:w="1584"/>
            <w:tcMar>
              <w:top w:w="100" w:type="dxa"/>
              <w:start w:w="120" w:type="dxa"/>
              <w:bottom w:w="100" w:type="dxa"/>
              <w:end w:w="120" w:type="dxa"/>
            </w:tcMar>
            <w:vAlign w:val="center"/>
          </w:tcPr>
          <w:p>
            <w:r>
              <w:rPr>
                <w:rFonts w:ascii="Arial" w:hAnsi="Arial"/>
                <w:sz w:val="17"/>
              </w:rPr>
              <w:t>Demo</w:t>
            </w:r>
          </w:p>
        </w:tc>
        <w:tc>
          <w:tcPr>
            <w:tcW w:type="dxa" w:w="3600"/>
            <w:tcMar>
              <w:top w:w="100" w:type="dxa"/>
              <w:start w:w="120" w:type="dxa"/>
              <w:bottom w:w="100" w:type="dxa"/>
              <w:end w:w="120" w:type="dxa"/>
            </w:tcMar>
            <w:vAlign w:val="center"/>
          </w:tcPr>
          <w:p>
            <w:r>
              <w:rPr>
                <w:rFonts w:ascii="Arial" w:hAnsi="Arial"/>
                <w:sz w:val="17"/>
              </w:rPr>
              <w:t>30 days, 3 processes, 1 Worker, 1 installation</w:t>
            </w:r>
          </w:p>
        </w:tc>
        <w:tc>
          <w:tcPr>
            <w:tcW w:type="dxa" w:w="4248"/>
            <w:tcMar>
              <w:top w:w="100" w:type="dxa"/>
              <w:start w:w="120" w:type="dxa"/>
              <w:bottom w:w="100" w:type="dxa"/>
              <w:end w:w="120" w:type="dxa"/>
            </w:tcMar>
            <w:vAlign w:val="center"/>
          </w:tcPr>
          <w:p>
            <w:r>
              <w:rPr>
                <w:rFonts w:ascii="Arial" w:hAnsi="Arial"/>
                <w:sz w:val="17"/>
              </w:rPr>
              <w:t>No commercial file required; then read-only mode.</w:t>
            </w:r>
          </w:p>
        </w:tc>
      </w:tr>
      <w:tr>
        <w:tc>
          <w:tcPr>
            <w:tcW w:type="dxa" w:w="1584"/>
            <w:tcMar>
              <w:top w:w="100" w:type="dxa"/>
              <w:start w:w="120" w:type="dxa"/>
              <w:bottom w:w="100" w:type="dxa"/>
              <w:end w:w="120" w:type="dxa"/>
            </w:tcMar>
            <w:vAlign w:val="center"/>
          </w:tcPr>
          <w:p>
            <w:r>
              <w:rPr>
                <w:rFonts w:ascii="Arial" w:hAnsi="Arial"/>
                <w:sz w:val="17"/>
              </w:rPr>
              <w:t>Professional</w:t>
            </w:r>
          </w:p>
        </w:tc>
        <w:tc>
          <w:tcPr>
            <w:tcW w:type="dxa" w:w="3600"/>
            <w:tcMar>
              <w:top w:w="100" w:type="dxa"/>
              <w:start w:w="120" w:type="dxa"/>
              <w:bottom w:w="100" w:type="dxa"/>
              <w:end w:w="120" w:type="dxa"/>
            </w:tcMar>
            <w:vAlign w:val="center"/>
          </w:tcPr>
          <w:p>
            <w:r>
              <w:rPr>
                <w:rFonts w:ascii="Arial" w:hAnsi="Arial"/>
                <w:sz w:val="17"/>
              </w:rPr>
              <w:t>Up to 25 processes, 5 Workers, 1 production + 1 test</w:t>
            </w:r>
          </w:p>
        </w:tc>
        <w:tc>
          <w:tcPr>
            <w:tcW w:type="dxa" w:w="4248"/>
            <w:tcMar>
              <w:top w:w="100" w:type="dxa"/>
              <w:start w:w="120" w:type="dxa"/>
              <w:bottom w:w="100" w:type="dxa"/>
              <w:end w:w="120" w:type="dxa"/>
            </w:tcMar>
            <w:vAlign w:val="center"/>
          </w:tcPr>
          <w:p>
            <w:r>
              <w:rPr>
                <w:rFonts w:ascii="Arial" w:hAnsi="Arial"/>
                <w:sz w:val="17"/>
              </w:rPr>
              <w:t>Annual signed file bound to the installation.</w:t>
            </w:r>
          </w:p>
        </w:tc>
      </w:tr>
      <w:tr>
        <w:tc>
          <w:tcPr>
            <w:tcW w:type="dxa" w:w="1584"/>
            <w:tcMar>
              <w:top w:w="100" w:type="dxa"/>
              <w:start w:w="120" w:type="dxa"/>
              <w:bottom w:w="100" w:type="dxa"/>
              <w:end w:w="120" w:type="dxa"/>
            </w:tcMar>
            <w:vAlign w:val="center"/>
          </w:tcPr>
          <w:p>
            <w:r>
              <w:rPr>
                <w:rFonts w:ascii="Arial" w:hAnsi="Arial"/>
                <w:sz w:val="17"/>
              </w:rPr>
              <w:t>Enterprise</w:t>
            </w:r>
          </w:p>
        </w:tc>
        <w:tc>
          <w:tcPr>
            <w:tcW w:type="dxa" w:w="3600"/>
            <w:tcMar>
              <w:top w:w="100" w:type="dxa"/>
              <w:start w:w="120" w:type="dxa"/>
              <w:bottom w:w="100" w:type="dxa"/>
              <w:end w:w="120" w:type="dxa"/>
            </w:tcMar>
            <w:vAlign w:val="center"/>
          </w:tcPr>
          <w:p>
            <w:r>
              <w:rPr>
                <w:rFonts w:ascii="Arial" w:hAnsi="Arial"/>
                <w:sz w:val="17"/>
              </w:rPr>
              <w:t>Configurable processes, Workers, and installations</w:t>
            </w:r>
          </w:p>
        </w:tc>
        <w:tc>
          <w:tcPr>
            <w:tcW w:type="dxa" w:w="4248"/>
            <w:tcMar>
              <w:top w:w="100" w:type="dxa"/>
              <w:start w:w="120" w:type="dxa"/>
              <w:bottom w:w="100" w:type="dxa"/>
              <w:end w:w="120" w:type="dxa"/>
            </w:tcMar>
            <w:vAlign w:val="center"/>
          </w:tcPr>
          <w:p>
            <w:r>
              <w:rPr>
                <w:rFonts w:ascii="Arial" w:hAnsi="Arial"/>
                <w:sz w:val="17"/>
              </w:rPr>
              <w:t>Signed file based on the commercial agreement.</w:t>
            </w:r>
          </w:p>
        </w:tc>
      </w:tr>
    </w:tbl>
    <w:p>
      <w:pPr>
        <w:spacing w:after="0"/>
      </w:pPr>
    </w:p>
    <w:p>
      <w:r>
        <w:rPr>
          <w:rFonts w:ascii="Arial" w:hAnsi="Arial"/>
          <w:i w:val="0"/>
        </w:rPr>
        <w:t>Commercial licenses are located at Web\License\sqlworkflowmonitor.lic. To renew, replace that file and restart the Web service; the product does not need to be reinstalled.</w:t>
      </w:r>
    </w:p>
    <w:p>
      <w:pPr>
        <w:pStyle w:val="ListBullet"/>
        <w:spacing w:after="40"/>
      </w:pPr>
      <w:r>
        <w:rPr>
          <w:rFonts w:ascii="Arial" w:hAnsi="Arial"/>
        </w:rPr>
        <w:t>Signatures use RSA-PSS and SHA-256.</w:t>
      </w:r>
    </w:p>
    <w:p>
      <w:pPr>
        <w:pStyle w:val="ListBullet"/>
        <w:spacing w:after="40"/>
      </w:pPr>
      <w:r>
        <w:rPr>
          <w:rFonts w:ascii="Arial" w:hAnsi="Arial"/>
        </w:rPr>
        <w:t>The distributed application contains only the public key.</w:t>
      </w:r>
    </w:p>
    <w:p>
      <w:pPr>
        <w:pStyle w:val="ListBullet"/>
        <w:spacing w:after="40"/>
      </w:pPr>
      <w:r>
        <w:rPr>
          <w:rFonts w:ascii="Arial" w:hAnsi="Arial"/>
        </w:rPr>
        <w:t>A modified license, incorrect InstallationId, or invalid signature is rejected.</w:t>
      </w:r>
    </w:p>
    <w:p>
      <w:pPr>
        <w:pStyle w:val="ListBullet"/>
        <w:spacing w:after="40"/>
      </w:pPr>
      <w:r>
        <w:rPr>
          <w:rFonts w:ascii="Arial" w:hAnsi="Arial"/>
        </w:rPr>
        <w:t>The product displays expiration warnings.</w:t>
      </w:r>
    </w:p>
    <w:p>
      <w:pPr>
        <w:pStyle w:val="ListBullet"/>
        <w:spacing w:after="40"/>
      </w:pPr>
      <w:r>
        <w:rPr>
          <w:rFonts w:ascii="Arial" w:hAnsi="Arial"/>
        </w:rPr>
        <w:t>A 14-day grace period follows expiration; read-only mode begins afterward.</w:t>
      </w:r>
    </w:p>
    <w:tbl>
      <w:tblPr>
        <w:tblW w:type="auto" w:w="0"/>
        <w:jc w:val="center"/>
        <w:tblLayout w:type="fixed"/>
        <w:tblLook w:firstColumn="1" w:firstRow="1" w:lastColumn="0" w:lastRow="0" w:noHBand="0" w:noVBand="1" w:val="04A0"/>
      </w:tblPr>
      <w:tblGrid>
        <w:gridCol w:w="9576"/>
      </w:tblGrid>
      <w:tr>
        <w:tc>
          <w:tcPr>
            <w:tcW w:type="dxa" w:w="10080"/>
            <w:shd w:fill="E8F5EE"/>
            <w:tcMar>
              <w:top w:w="150" w:type="dxa"/>
              <w:start w:w="180" w:type="dxa"/>
              <w:bottom w:w="150" w:type="dxa"/>
              <w:end w:w="180" w:type="dxa"/>
            </w:tcMar>
          </w:tcPr>
          <w:p>
            <w:r>
              <w:rPr>
                <w:rFonts w:ascii="Arial" w:hAnsi="Arial"/>
                <w:b/>
                <w:color w:val="1267E5"/>
                <w:sz w:val="18"/>
              </w:rPr>
              <w:t>InstallationId</w:t>
            </w:r>
          </w:p>
          <w:p>
            <w:pPr>
              <w:spacing w:after="0"/>
            </w:pPr>
            <w:r>
              <w:rPr>
                <w:rFonts w:ascii="Arial" w:hAnsi="Arial"/>
                <w:color w:val="24364B"/>
                <w:sz w:val="18"/>
              </w:rPr>
              <w:t>The installation generates an InstallationId. Send that code to the license issuer to obtain a Professional or Enterprise license. Do not send databases, passwords, or private keys.</w:t>
            </w:r>
          </w:p>
        </w:tc>
      </w:tr>
    </w:tbl>
    <w:p>
      <w:pPr>
        <w:spacing w:after="0"/>
      </w:pPr>
    </w:p>
    <w:p>
      <w:r>
        <w:br w:type="page"/>
      </w:r>
    </w:p>
    <w:p>
      <w:pPr>
        <w:spacing w:before="2000"/>
      </w:pPr>
      <w:r>
        <w:rPr>
          <w:rFonts w:ascii="Arial" w:hAnsi="Arial"/>
          <w:b/>
          <w:color w:val="1267E5"/>
          <w:sz w:val="20"/>
        </w:rPr>
        <w:t>PART III</w:t>
      </w:r>
    </w:p>
    <w:p>
      <w:pPr>
        <w:pStyle w:val="Heading1"/>
        <w:spacing w:before="80"/>
      </w:pPr>
      <w:r>
        <w:t>Windows services and startup</w:t>
      </w:r>
    </w:p>
    <w:p/>
    <w:p>
      <w:pPr>
        <w:pStyle w:val="Heading1"/>
      </w:pPr>
      <w:r>
        <w:t>11. Install the services</w:t>
      </w:r>
    </w:p>
    <w:p>
      <w:pPr>
        <w:spacing w:after="60"/>
        <w:ind w:left="29" w:hanging="29"/>
      </w:pPr>
      <w:r>
        <w:rPr>
          <w:rFonts w:ascii="Arial" w:hAnsi="Arial"/>
          <w:b/>
          <w:color w:val="10233F"/>
        </w:rPr>
        <w:t xml:space="preserve">1.  </w:t>
      </w:r>
      <w:r>
        <w:rPr>
          <w:rFonts w:ascii="Arial" w:hAnsi="Arial"/>
        </w:rPr>
        <w:t>Configure Web\appsettings.json and Worker\appsettings.json.</w:t>
      </w:r>
    </w:p>
    <w:p>
      <w:pPr>
        <w:spacing w:after="60"/>
        <w:ind w:left="29" w:hanging="29"/>
      </w:pPr>
      <w:r>
        <w:rPr>
          <w:rFonts w:ascii="Arial" w:hAnsi="Arial"/>
          <w:b/>
          <w:color w:val="10233F"/>
        </w:rPr>
        <w:t xml:space="preserve">2.  </w:t>
      </w:r>
      <w:r>
        <w:rPr>
          <w:rFonts w:ascii="Arial" w:hAnsi="Arial"/>
        </w:rPr>
        <w:t>Execute Database\Install.sql.</w:t>
      </w:r>
    </w:p>
    <w:p>
      <w:pPr>
        <w:spacing w:after="60"/>
        <w:ind w:left="29" w:hanging="29"/>
      </w:pPr>
      <w:r>
        <w:rPr>
          <w:rFonts w:ascii="Arial" w:hAnsi="Arial"/>
          <w:b/>
          <w:color w:val="10233F"/>
        </w:rPr>
        <w:t xml:space="preserve">3.  </w:t>
      </w:r>
      <w:r>
        <w:rPr>
          <w:rFonts w:ascii="Arial" w:hAnsi="Arial"/>
        </w:rPr>
        <w:t>Open PowerShell as Administrator in the package root.</w:t>
      </w:r>
    </w:p>
    <w:p>
      <w:pPr>
        <w:spacing w:after="60"/>
        <w:ind w:left="29" w:hanging="29"/>
      </w:pPr>
      <w:r>
        <w:rPr>
          <w:rFonts w:ascii="Arial" w:hAnsi="Arial"/>
          <w:b/>
          <w:color w:val="10233F"/>
        </w:rPr>
        <w:t xml:space="preserve">4.  </w:t>
      </w:r>
      <w:r>
        <w:rPr>
          <w:rFonts w:ascii="Arial" w:hAnsi="Arial"/>
        </w:rPr>
        <w:t>Run Scripts\Install-Services.ps1.</w:t>
      </w:r>
    </w:p>
    <w:p>
      <w:pPr>
        <w:spacing w:after="60"/>
        <w:ind w:left="29" w:hanging="29"/>
      </w:pPr>
      <w:r>
        <w:rPr>
          <w:rFonts w:ascii="Arial" w:hAnsi="Arial"/>
          <w:b/>
          <w:color w:val="10233F"/>
        </w:rPr>
        <w:t xml:space="preserve">5.  </w:t>
      </w:r>
      <w:r>
        <w:rPr>
          <w:rFonts w:ascii="Arial" w:hAnsi="Arial"/>
        </w:rPr>
        <w:t>Confirm that SqlWorkflowMonitor Web and SqlWorkflowMonitor Worker are Running and configured for automatic startup.</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rPr>
                <w:rFonts w:ascii="Consolas" w:hAnsi="Consolas"/>
                <w:color w:val="10233F"/>
                <w:sz w:val="15"/>
              </w:rPr>
              <w:t>powershell -ExecutionPolicy Bypass -File ".\Scripts\Install-Services.ps1"</w:t>
              <w:br/>
              <w:t>Get-Service "SqlWorkflowMonitor Web", "SqlWorkflowMonitor Worker"</w:t>
            </w:r>
          </w:p>
        </w:tc>
      </w:tr>
    </w:tbl>
    <w:p>
      <w:pPr>
        <w:spacing w:after="0"/>
      </w:pPr>
    </w:p>
    <w:p>
      <w:r>
        <w:rPr>
          <w:rFonts w:ascii="Arial" w:hAnsi="Arial"/>
          <w:i w:val="0"/>
        </w:rPr>
        <w:t>The Worker depends on the Web service. Both are configured to restart automatically after a failure.</w:t>
      </w:r>
    </w:p>
    <w:tbl>
      <w:tblPr>
        <w:tblW w:type="auto" w:w="0"/>
        <w:jc w:val="center"/>
        <w:tblLayout w:type="fixed"/>
        <w:tblLook w:firstColumn="1" w:firstRow="1" w:lastColumn="0" w:lastRow="0" w:noHBand="0" w:noVBand="1" w:val="04A0"/>
      </w:tblPr>
      <w:tblGrid>
        <w:gridCol w:w="9576"/>
      </w:tblGrid>
      <w:tr>
        <w:tc>
          <w:tcPr>
            <w:tcW w:type="dxa" w:w="10080"/>
            <w:shd w:fill="FFF3CD"/>
            <w:tcMar>
              <w:top w:w="150" w:type="dxa"/>
              <w:start w:w="180" w:type="dxa"/>
              <w:bottom w:w="150" w:type="dxa"/>
              <w:end w:w="180" w:type="dxa"/>
            </w:tcMar>
          </w:tcPr>
          <w:p>
            <w:r>
              <w:rPr>
                <w:rFonts w:ascii="Arial" w:hAnsi="Arial"/>
                <w:b/>
                <w:color w:val="10233F"/>
                <w:sz w:val="18"/>
              </w:rPr>
              <w:t>Service account</w:t>
            </w:r>
          </w:p>
          <w:p>
            <w:pPr>
              <w:spacing w:after="0"/>
            </w:pPr>
            <w:r>
              <w:rPr>
                <w:rFonts w:ascii="Arial" w:hAnsi="Arial"/>
                <w:color w:val="24364B"/>
                <w:sz w:val="18"/>
              </w:rPr>
              <w:t>The script creates services using the default Windows identity. Verify that this identity can connect to SQL Server and access configured folders. In corporate environments, use a managed service account that complies with customer policy.</w:t>
            </w:r>
          </w:p>
        </w:tc>
      </w:tr>
    </w:tbl>
    <w:p>
      <w:pPr>
        <w:spacing w:after="0"/>
      </w:pPr>
    </w:p>
    <w:p>
      <w:pPr>
        <w:pStyle w:val="Heading1"/>
      </w:pPr>
      <w:r>
        <w:t>12. Verify startup</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304"/>
            <w:shd w:fill="D9E2F3"/>
            <w:tcMar>
              <w:top w:w="100" w:type="dxa"/>
              <w:start w:w="120" w:type="dxa"/>
              <w:bottom w:w="100" w:type="dxa"/>
              <w:end w:w="120" w:type="dxa"/>
            </w:tcMar>
            <w:vAlign w:val="center"/>
          </w:tcPr>
          <w:p>
            <w:r>
              <w:rPr>
                <w:rFonts w:ascii="Arial" w:hAnsi="Arial"/>
                <w:b/>
                <w:color w:val="10233F"/>
                <w:sz w:val="17"/>
              </w:rPr>
              <w:t>Resource</w:t>
            </w:r>
          </w:p>
        </w:tc>
        <w:tc>
          <w:tcPr>
            <w:tcW w:type="dxa" w:w="7128"/>
            <w:shd w:fill="D9E2F3"/>
            <w:tcMar>
              <w:top w:w="100" w:type="dxa"/>
              <w:start w:w="120" w:type="dxa"/>
              <w:bottom w:w="100" w:type="dxa"/>
              <w:end w:w="120" w:type="dxa"/>
            </w:tcMar>
            <w:vAlign w:val="center"/>
          </w:tcPr>
          <w:p>
            <w:r>
              <w:rPr>
                <w:rFonts w:ascii="Arial" w:hAnsi="Arial"/>
                <w:b/>
                <w:color w:val="10233F"/>
                <w:sz w:val="17"/>
              </w:rPr>
              <w:t>Default address</w:t>
            </w:r>
          </w:p>
        </w:tc>
      </w:tr>
      <w:tr>
        <w:tc>
          <w:tcPr>
            <w:tcW w:type="dxa" w:w="2304"/>
            <w:tcMar>
              <w:top w:w="100" w:type="dxa"/>
              <w:start w:w="120" w:type="dxa"/>
              <w:bottom w:w="100" w:type="dxa"/>
              <w:end w:w="120" w:type="dxa"/>
            </w:tcMar>
            <w:vAlign w:val="center"/>
          </w:tcPr>
          <w:p>
            <w:r>
              <w:rPr>
                <w:rFonts w:ascii="Arial" w:hAnsi="Arial"/>
                <w:sz w:val="17"/>
              </w:rPr>
              <w:t>Dashboard</w:t>
            </w:r>
          </w:p>
        </w:tc>
        <w:tc>
          <w:tcPr>
            <w:tcW w:type="dxa" w:w="7128"/>
            <w:tcMar>
              <w:top w:w="100" w:type="dxa"/>
              <w:start w:w="120" w:type="dxa"/>
              <w:bottom w:w="100" w:type="dxa"/>
              <w:end w:w="120" w:type="dxa"/>
            </w:tcMar>
            <w:vAlign w:val="center"/>
          </w:tcPr>
          <w:p>
            <w:r>
              <w:rPr>
                <w:rFonts w:ascii="Arial" w:hAnsi="Arial"/>
                <w:sz w:val="17"/>
              </w:rPr>
              <w:t>http://localhost:5080/executions</w:t>
            </w:r>
          </w:p>
        </w:tc>
      </w:tr>
      <w:tr>
        <w:tc>
          <w:tcPr>
            <w:tcW w:type="dxa" w:w="2304"/>
            <w:tcMar>
              <w:top w:w="100" w:type="dxa"/>
              <w:start w:w="120" w:type="dxa"/>
              <w:bottom w:w="100" w:type="dxa"/>
              <w:end w:w="120" w:type="dxa"/>
            </w:tcMar>
            <w:vAlign w:val="center"/>
          </w:tcPr>
          <w:p>
            <w:r>
              <w:rPr>
                <w:rFonts w:ascii="Arial" w:hAnsi="Arial"/>
                <w:sz w:val="17"/>
              </w:rPr>
              <w:t>Swagger</w:t>
            </w:r>
          </w:p>
        </w:tc>
        <w:tc>
          <w:tcPr>
            <w:tcW w:type="dxa" w:w="7128"/>
            <w:tcMar>
              <w:top w:w="100" w:type="dxa"/>
              <w:start w:w="120" w:type="dxa"/>
              <w:bottom w:w="100" w:type="dxa"/>
              <w:end w:w="120" w:type="dxa"/>
            </w:tcMar>
            <w:vAlign w:val="center"/>
          </w:tcPr>
          <w:p>
            <w:r>
              <w:rPr>
                <w:rFonts w:ascii="Arial" w:hAnsi="Arial"/>
                <w:sz w:val="17"/>
              </w:rPr>
              <w:t>http://localhost:5080/swagger (only when enabled)</w:t>
            </w:r>
          </w:p>
        </w:tc>
      </w:tr>
      <w:tr>
        <w:tc>
          <w:tcPr>
            <w:tcW w:type="dxa" w:w="2304"/>
            <w:tcMar>
              <w:top w:w="100" w:type="dxa"/>
              <w:start w:w="120" w:type="dxa"/>
              <w:bottom w:w="100" w:type="dxa"/>
              <w:end w:w="120" w:type="dxa"/>
            </w:tcMar>
            <w:vAlign w:val="center"/>
          </w:tcPr>
          <w:p>
            <w:r>
              <w:rPr>
                <w:rFonts w:ascii="Arial" w:hAnsi="Arial"/>
                <w:sz w:val="17"/>
              </w:rPr>
              <w:t>Health check</w:t>
            </w:r>
          </w:p>
        </w:tc>
        <w:tc>
          <w:tcPr>
            <w:tcW w:type="dxa" w:w="7128"/>
            <w:tcMar>
              <w:top w:w="100" w:type="dxa"/>
              <w:start w:w="120" w:type="dxa"/>
              <w:bottom w:w="100" w:type="dxa"/>
              <w:end w:w="120" w:type="dxa"/>
            </w:tcMar>
            <w:vAlign w:val="center"/>
          </w:tcPr>
          <w:p>
            <w:r>
              <w:rPr>
                <w:rFonts w:ascii="Arial" w:hAnsi="Arial"/>
                <w:sz w:val="17"/>
              </w:rPr>
              <w:t>http://localhost:5080/api/health</w:t>
            </w:r>
          </w:p>
        </w:tc>
      </w:tr>
    </w:tbl>
    <w:p>
      <w:pPr>
        <w:spacing w:after="0"/>
      </w:pPr>
    </w:p>
    <w:p>
      <w:r>
        <w:rPr>
          <w:rFonts w:ascii="Arial" w:hAnsi="Arial"/>
          <w:i w:val="0"/>
        </w:rPr>
        <w:t>The health endpoint should return HTTP 200, Healthy status, and Connected database. HTTP 503 indicates a SQL Server connectivity problem.</w:t>
      </w:r>
    </w:p>
    <w:p>
      <w:pPr>
        <w:pStyle w:val="Heading1"/>
      </w:pPr>
      <w:r>
        <w:t>13. Uninstall services</w:t>
      </w:r>
    </w:p>
    <w:p>
      <w:r>
        <w:rPr>
          <w:rFonts w:ascii="Arial" w:hAnsi="Arial"/>
          <w:i w:val="0"/>
        </w:rPr>
        <w:t>The uninstall script stops and removes the services, but it does not delete the database or data folders.</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rPr>
                <w:rFonts w:ascii="Consolas" w:hAnsi="Consolas"/>
                <w:color w:val="10233F"/>
                <w:sz w:val="15"/>
              </w:rPr>
              <w:t>powershell -ExecutionPolicy Bypass -File ".\Scripts\Uninstall-Services.ps1"</w:t>
            </w:r>
          </w:p>
        </w:tc>
      </w:tr>
    </w:tbl>
    <w:p>
      <w:pPr>
        <w:spacing w:after="0"/>
      </w:pPr>
    </w:p>
    <w:p>
      <w:pPr>
        <w:pStyle w:val="ListBullet"/>
        <w:spacing w:after="40"/>
      </w:pPr>
      <w:r>
        <w:rPr>
          <w:rFonts w:ascii="Arial" w:hAnsi="Arial"/>
        </w:rPr>
        <w:t>Back up the database before updating or uninstalling.</w:t>
      </w:r>
    </w:p>
    <w:p>
      <w:pPr>
        <w:pStyle w:val="ListBullet"/>
        <w:spacing w:after="40"/>
      </w:pPr>
      <w:r>
        <w:rPr>
          <w:rFonts w:ascii="Arial" w:hAnsi="Arial"/>
        </w:rPr>
        <w:t>Keep Web\License\sqlworkflowmonitor.lic and appsettings files when appropriate.</w:t>
      </w:r>
    </w:p>
    <w:p>
      <w:pPr>
        <w:pStyle w:val="ListBullet"/>
        <w:spacing w:after="40"/>
      </w:pPr>
      <w:r>
        <w:rPr>
          <w:rFonts w:ascii="Arial" w:hAnsi="Arial"/>
        </w:rPr>
        <w:t>Data deletion must be an explicit administrator decision.</w:t>
      </w:r>
    </w:p>
    <w:p>
      <w:r>
        <w:br w:type="page"/>
      </w:r>
    </w:p>
    <w:p>
      <w:pPr>
        <w:spacing w:before="2000"/>
      </w:pPr>
      <w:r>
        <w:rPr>
          <w:rFonts w:ascii="Arial" w:hAnsi="Arial"/>
          <w:b/>
          <w:color w:val="1267E5"/>
          <w:sz w:val="20"/>
        </w:rPr>
        <w:t>PART IV</w:t>
      </w:r>
    </w:p>
    <w:p>
      <w:pPr>
        <w:pStyle w:val="Heading1"/>
        <w:spacing w:before="80"/>
      </w:pPr>
      <w:r>
        <w:t>Daily operation</w:t>
      </w:r>
    </w:p>
    <w:p/>
    <w:p>
      <w:pPr>
        <w:pStyle w:val="Heading1"/>
      </w:pPr>
      <w:r>
        <w:t>14. Dashboard and indicators</w:t>
      </w:r>
    </w:p>
    <w:p>
      <w:pPr>
        <w:jc w:val="center"/>
      </w:pPr>
      <w:r>
        <w:drawing>
          <wp:inline xmlns:a="http://schemas.openxmlformats.org/drawingml/2006/main" xmlns:pic="http://schemas.openxmlformats.org/drawingml/2006/picture">
            <wp:extent cx="5897880" cy="3460981"/>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897880" cy="3460981"/>
                    </a:xfrm>
                    <a:prstGeom prst="rect"/>
                  </pic:spPr>
                </pic:pic>
              </a:graphicData>
            </a:graphic>
          </wp:inline>
        </w:drawing>
      </w:r>
    </w:p>
    <w:p>
      <w:pPr>
        <w:jc w:val="center"/>
      </w:pPr>
      <w:r>
        <w:rPr>
          <w:rFonts w:ascii="Arial" w:hAnsi="Arial"/>
          <w:i/>
          <w:color w:val="6B7280"/>
          <w:sz w:val="16"/>
        </w:rPr>
        <w:t>Main view with edition status, indicators, filters, and executions.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3024"/>
            <w:shd w:fill="D9E2F3"/>
            <w:tcMar>
              <w:top w:w="100" w:type="dxa"/>
              <w:start w:w="120" w:type="dxa"/>
              <w:bottom w:w="100" w:type="dxa"/>
              <w:end w:w="120" w:type="dxa"/>
            </w:tcMar>
            <w:vAlign w:val="center"/>
          </w:tcPr>
          <w:p>
            <w:r>
              <w:rPr>
                <w:rFonts w:ascii="Arial" w:hAnsi="Arial"/>
                <w:b/>
                <w:color w:val="10233F"/>
                <w:sz w:val="17"/>
              </w:rPr>
              <w:t>Indicator</w:t>
            </w:r>
          </w:p>
        </w:tc>
        <w:tc>
          <w:tcPr>
            <w:tcW w:type="dxa" w:w="6408"/>
            <w:shd w:fill="D9E2F3"/>
            <w:tcMar>
              <w:top w:w="100" w:type="dxa"/>
              <w:start w:w="120" w:type="dxa"/>
              <w:bottom w:w="100" w:type="dxa"/>
              <w:end w:w="120" w:type="dxa"/>
            </w:tcMar>
            <w:vAlign w:val="center"/>
          </w:tcPr>
          <w:p>
            <w:r>
              <w:rPr>
                <w:rFonts w:ascii="Arial" w:hAnsi="Arial"/>
                <w:b/>
                <w:color w:val="10233F"/>
                <w:sz w:val="17"/>
              </w:rPr>
              <w:t>Interpretation</w:t>
            </w:r>
          </w:p>
        </w:tc>
      </w:tr>
      <w:tr>
        <w:tc>
          <w:tcPr>
            <w:tcW w:type="dxa" w:w="3024"/>
            <w:tcMar>
              <w:top w:w="100" w:type="dxa"/>
              <w:start w:w="120" w:type="dxa"/>
              <w:bottom w:w="100" w:type="dxa"/>
              <w:end w:w="120" w:type="dxa"/>
            </w:tcMar>
            <w:vAlign w:val="center"/>
          </w:tcPr>
          <w:p>
            <w:r>
              <w:rPr>
                <w:rFonts w:ascii="Arial" w:hAnsi="Arial"/>
                <w:sz w:val="17"/>
              </w:rPr>
              <w:t>Running</w:t>
            </w:r>
          </w:p>
        </w:tc>
        <w:tc>
          <w:tcPr>
            <w:tcW w:type="dxa" w:w="6408"/>
            <w:tcMar>
              <w:top w:w="100" w:type="dxa"/>
              <w:start w:w="120" w:type="dxa"/>
              <w:bottom w:w="100" w:type="dxa"/>
              <w:end w:w="120" w:type="dxa"/>
            </w:tcMar>
            <w:vAlign w:val="center"/>
          </w:tcPr>
          <w:p>
            <w:r>
              <w:rPr>
                <w:rFonts w:ascii="Arial" w:hAnsi="Arial"/>
                <w:sz w:val="17"/>
              </w:rPr>
              <w:t>Executions that remain open.</w:t>
            </w:r>
          </w:p>
        </w:tc>
      </w:tr>
      <w:tr>
        <w:tc>
          <w:tcPr>
            <w:tcW w:type="dxa" w:w="3024"/>
            <w:tcMar>
              <w:top w:w="100" w:type="dxa"/>
              <w:start w:w="120" w:type="dxa"/>
              <w:bottom w:w="100" w:type="dxa"/>
              <w:end w:w="120" w:type="dxa"/>
            </w:tcMar>
            <w:vAlign w:val="center"/>
          </w:tcPr>
          <w:p>
            <w:r>
              <w:rPr>
                <w:rFonts w:ascii="Arial" w:hAnsi="Arial"/>
                <w:sz w:val="17"/>
              </w:rPr>
              <w:t>Succeeded</w:t>
            </w:r>
          </w:p>
        </w:tc>
        <w:tc>
          <w:tcPr>
            <w:tcW w:type="dxa" w:w="6408"/>
            <w:tcMar>
              <w:top w:w="100" w:type="dxa"/>
              <w:start w:w="120" w:type="dxa"/>
              <w:bottom w:w="100" w:type="dxa"/>
              <w:end w:w="120" w:type="dxa"/>
            </w:tcMar>
            <w:vAlign w:val="center"/>
          </w:tcPr>
          <w:p>
            <w:r>
              <w:rPr>
                <w:rFonts w:ascii="Arial" w:hAnsi="Arial"/>
                <w:sz w:val="17"/>
              </w:rPr>
              <w:t>Executions completed successfully.</w:t>
            </w:r>
          </w:p>
        </w:tc>
      </w:tr>
      <w:tr>
        <w:tc>
          <w:tcPr>
            <w:tcW w:type="dxa" w:w="3024"/>
            <w:tcMar>
              <w:top w:w="100" w:type="dxa"/>
              <w:start w:w="120" w:type="dxa"/>
              <w:bottom w:w="100" w:type="dxa"/>
              <w:end w:w="120" w:type="dxa"/>
            </w:tcMar>
            <w:vAlign w:val="center"/>
          </w:tcPr>
          <w:p>
            <w:r>
              <w:rPr>
                <w:rFonts w:ascii="Arial" w:hAnsi="Arial"/>
                <w:sz w:val="17"/>
              </w:rPr>
              <w:t>Failed</w:t>
            </w:r>
          </w:p>
        </w:tc>
        <w:tc>
          <w:tcPr>
            <w:tcW w:type="dxa" w:w="6408"/>
            <w:tcMar>
              <w:top w:w="100" w:type="dxa"/>
              <w:start w:w="120" w:type="dxa"/>
              <w:bottom w:w="100" w:type="dxa"/>
              <w:end w:w="120" w:type="dxa"/>
            </w:tcMar>
            <w:vAlign w:val="center"/>
          </w:tcPr>
          <w:p>
            <w:r>
              <w:rPr>
                <w:rFonts w:ascii="Arial" w:hAnsi="Arial"/>
                <w:sz w:val="17"/>
              </w:rPr>
              <w:t>Executions completed with an error.</w:t>
            </w:r>
          </w:p>
        </w:tc>
      </w:tr>
      <w:tr>
        <w:tc>
          <w:tcPr>
            <w:tcW w:type="dxa" w:w="3024"/>
            <w:tcMar>
              <w:top w:w="100" w:type="dxa"/>
              <w:start w:w="120" w:type="dxa"/>
              <w:bottom w:w="100" w:type="dxa"/>
              <w:end w:w="120" w:type="dxa"/>
            </w:tcMar>
            <w:vAlign w:val="center"/>
          </w:tcPr>
          <w:p>
            <w:r>
              <w:rPr>
                <w:rFonts w:ascii="Arial" w:hAnsi="Arial"/>
                <w:sz w:val="17"/>
              </w:rPr>
              <w:t>Average successful duration</w:t>
            </w:r>
          </w:p>
        </w:tc>
        <w:tc>
          <w:tcPr>
            <w:tcW w:type="dxa" w:w="6408"/>
            <w:tcMar>
              <w:top w:w="100" w:type="dxa"/>
              <w:start w:w="120" w:type="dxa"/>
              <w:bottom w:w="100" w:type="dxa"/>
              <w:end w:w="120" w:type="dxa"/>
            </w:tcMar>
            <w:vAlign w:val="center"/>
          </w:tcPr>
          <w:p>
            <w:r>
              <w:rPr>
                <w:rFonts w:ascii="Arial" w:hAnsi="Arial"/>
                <w:sz w:val="17"/>
              </w:rPr>
              <w:t>Average duration of successful executions in the current filter.</w:t>
            </w:r>
          </w:p>
        </w:tc>
      </w:tr>
      <w:tr>
        <w:tc>
          <w:tcPr>
            <w:tcW w:type="dxa" w:w="3024"/>
            <w:tcMar>
              <w:top w:w="100" w:type="dxa"/>
              <w:start w:w="120" w:type="dxa"/>
              <w:bottom w:w="100" w:type="dxa"/>
              <w:end w:w="120" w:type="dxa"/>
            </w:tcMar>
            <w:vAlign w:val="center"/>
          </w:tcPr>
          <w:p>
            <w:r>
              <w:rPr>
                <w:rFonts w:ascii="Arial" w:hAnsi="Arial"/>
                <w:sz w:val="17"/>
              </w:rPr>
              <w:t>Processes / Workers used</w:t>
            </w:r>
          </w:p>
        </w:tc>
        <w:tc>
          <w:tcPr>
            <w:tcW w:type="dxa" w:w="6408"/>
            <w:tcMar>
              <w:top w:w="100" w:type="dxa"/>
              <w:start w:w="120" w:type="dxa"/>
              <w:bottom w:w="100" w:type="dxa"/>
              <w:end w:w="120" w:type="dxa"/>
            </w:tcMar>
            <w:vAlign w:val="center"/>
          </w:tcPr>
          <w:p>
            <w:r>
              <w:rPr>
                <w:rFonts w:ascii="Arial" w:hAnsi="Arial"/>
                <w:sz w:val="17"/>
              </w:rPr>
              <w:t>Distinct capacity consumed by the active edition.</w:t>
            </w:r>
          </w:p>
        </w:tc>
      </w:tr>
    </w:tbl>
    <w:p>
      <w:pPr>
        <w:spacing w:after="0"/>
      </w:pPr>
    </w:p>
    <w:p>
      <w:pPr>
        <w:pStyle w:val="Heading1"/>
      </w:pPr>
      <w:r>
        <w:t>15. Filter, sort, paginate, and export</w:t>
      </w:r>
    </w:p>
    <w:p>
      <w:pPr>
        <w:jc w:val="center"/>
      </w:pPr>
      <w:r>
        <w:drawing>
          <wp:inline xmlns:a="http://schemas.openxmlformats.org/drawingml/2006/main" xmlns:pic="http://schemas.openxmlformats.org/drawingml/2006/picture">
            <wp:extent cx="5897880" cy="3197022"/>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897880" cy="3197022"/>
                    </a:xfrm>
                    <a:prstGeom prst="rect"/>
                  </pic:spPr>
                </pic:pic>
              </a:graphicData>
            </a:graphic>
          </wp:inline>
        </w:drawing>
      </w:r>
    </w:p>
    <w:p>
      <w:pPr>
        <w:jc w:val="center"/>
      </w:pPr>
      <w:r>
        <w:rPr>
          <w:rFonts w:ascii="Arial" w:hAnsi="Arial"/>
          <w:i/>
          <w:color w:val="6B7280"/>
          <w:sz w:val="16"/>
        </w:rPr>
        <w:t>Example of execution history filtered by successful status.</w:t>
      </w:r>
    </w:p>
    <w:p>
      <w:pPr>
        <w:pStyle w:val="ListBullet"/>
        <w:spacing w:after="40"/>
      </w:pPr>
      <w:r>
        <w:rPr>
          <w:rFonts w:ascii="Arial" w:hAnsi="Arial"/>
        </w:rPr>
        <w:t>Filter by status, process, and date range.</w:t>
      </w:r>
    </w:p>
    <w:p>
      <w:pPr>
        <w:pStyle w:val="ListBullet"/>
        <w:spacing w:after="40"/>
      </w:pPr>
      <w:r>
        <w:rPr>
          <w:rFonts w:ascii="Arial" w:hAnsi="Arial"/>
        </w:rPr>
        <w:t>Sort by enabled columns and navigate with pagination.</w:t>
      </w:r>
    </w:p>
    <w:p>
      <w:pPr>
        <w:pStyle w:val="ListBullet"/>
        <w:spacing w:after="40"/>
      </w:pPr>
      <w:r>
        <w:rPr>
          <w:rFonts w:ascii="Arial" w:hAnsi="Arial"/>
        </w:rPr>
        <w:t>GET /api/executions returns 100 records by default and accepts a maximum of 500 per request.</w:t>
      </w:r>
    </w:p>
    <w:p>
      <w:pPr>
        <w:pStyle w:val="ListBullet"/>
        <w:spacing w:after="40"/>
      </w:pPr>
      <w:r>
        <w:rPr>
          <w:rFonts w:ascii="Arial" w:hAnsi="Arial"/>
        </w:rPr>
        <w:t>CSV export preserves filters and sorting, applies formula-injection protection, and respects the active license.</w:t>
      </w:r>
    </w:p>
    <w:p>
      <w:pPr>
        <w:pStyle w:val="ListBullet"/>
        <w:spacing w:after="40"/>
      </w:pPr>
      <w:r>
        <w:rPr>
          <w:rFonts w:ascii="Arial" w:hAnsi="Arial"/>
        </w:rPr>
        <w:t>The ES/EN selector changes text and visible date formatting.</w:t>
      </w:r>
    </w:p>
    <w:p>
      <w:r>
        <w:br w:type="page"/>
      </w:r>
    </w:p>
    <w:p>
      <w:pPr>
        <w:pStyle w:val="Heading1"/>
      </w:pPr>
      <w:r>
        <w:t>16. View execution details</w:t>
      </w:r>
    </w:p>
    <w:p>
      <w:pPr>
        <w:jc w:val="center"/>
      </w:pPr>
      <w:r>
        <w:drawing>
          <wp:inline xmlns:a="http://schemas.openxmlformats.org/drawingml/2006/main" xmlns:pic="http://schemas.openxmlformats.org/drawingml/2006/picture">
            <wp:extent cx="5669280" cy="2754239"/>
            <wp:docPr id="3" name="Picture 3"/>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669280" cy="2754239"/>
                    </a:xfrm>
                    <a:prstGeom prst="rect"/>
                  </pic:spPr>
                </pic:pic>
              </a:graphicData>
            </a:graphic>
          </wp:inline>
        </w:drawing>
      </w:r>
    </w:p>
    <w:p>
      <w:pPr>
        <w:jc w:val="center"/>
      </w:pPr>
      <w:r>
        <w:rPr>
          <w:rFonts w:ascii="Arial" w:hAnsi="Arial"/>
          <w:i/>
          <w:color w:val="6B7280"/>
          <w:sz w:val="16"/>
        </w:rPr>
        <w:t>Successful execution details with processing metrics.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232"/>
            <w:shd w:fill="D9E2F3"/>
            <w:tcMar>
              <w:top w:w="100" w:type="dxa"/>
              <w:start w:w="120" w:type="dxa"/>
              <w:bottom w:w="100" w:type="dxa"/>
              <w:end w:w="120" w:type="dxa"/>
            </w:tcMar>
            <w:vAlign w:val="center"/>
          </w:tcPr>
          <w:p>
            <w:r>
              <w:rPr>
                <w:rFonts w:ascii="Arial" w:hAnsi="Arial"/>
                <w:b/>
                <w:color w:val="10233F"/>
                <w:sz w:val="17"/>
              </w:rPr>
              <w:t>Field</w:t>
            </w:r>
          </w:p>
        </w:tc>
        <w:tc>
          <w:tcPr>
            <w:tcW w:type="dxa" w:w="7200"/>
            <w:shd w:fill="D9E2F3"/>
            <w:tcMar>
              <w:top w:w="100" w:type="dxa"/>
              <w:start w:w="120" w:type="dxa"/>
              <w:bottom w:w="100" w:type="dxa"/>
              <w:end w:w="120" w:type="dxa"/>
            </w:tcMar>
            <w:vAlign w:val="center"/>
          </w:tcPr>
          <w:p>
            <w:r>
              <w:rPr>
                <w:rFonts w:ascii="Arial" w:hAnsi="Arial"/>
                <w:b/>
                <w:color w:val="10233F"/>
                <w:sz w:val="17"/>
              </w:rPr>
              <w:t>Meaning</w:t>
            </w:r>
          </w:p>
        </w:tc>
      </w:tr>
      <w:tr>
        <w:tc>
          <w:tcPr>
            <w:tcW w:type="dxa" w:w="2232"/>
            <w:tcMar>
              <w:top w:w="100" w:type="dxa"/>
              <w:start w:w="120" w:type="dxa"/>
              <w:bottom w:w="100" w:type="dxa"/>
              <w:end w:w="120" w:type="dxa"/>
            </w:tcMar>
            <w:vAlign w:val="center"/>
          </w:tcPr>
          <w:p>
            <w:r>
              <w:rPr>
                <w:rFonts w:ascii="Arial" w:hAnsi="Arial"/>
                <w:sz w:val="17"/>
              </w:rPr>
              <w:t>Total</w:t>
            </w:r>
          </w:p>
        </w:tc>
        <w:tc>
          <w:tcPr>
            <w:tcW w:type="dxa" w:w="7200"/>
            <w:tcMar>
              <w:top w:w="100" w:type="dxa"/>
              <w:start w:w="120" w:type="dxa"/>
              <w:bottom w:w="100" w:type="dxa"/>
              <w:end w:w="120" w:type="dxa"/>
            </w:tcMar>
            <w:vAlign w:val="center"/>
          </w:tcPr>
          <w:p>
            <w:r>
              <w:rPr>
                <w:rFonts w:ascii="Arial" w:hAnsi="Arial"/>
                <w:sz w:val="17"/>
              </w:rPr>
              <w:t>Total number of items evaluated.</w:t>
            </w:r>
          </w:p>
        </w:tc>
      </w:tr>
      <w:tr>
        <w:tc>
          <w:tcPr>
            <w:tcW w:type="dxa" w:w="2232"/>
            <w:tcMar>
              <w:top w:w="100" w:type="dxa"/>
              <w:start w:w="120" w:type="dxa"/>
              <w:bottom w:w="100" w:type="dxa"/>
              <w:end w:w="120" w:type="dxa"/>
            </w:tcMar>
            <w:vAlign w:val="center"/>
          </w:tcPr>
          <w:p>
            <w:r>
              <w:rPr>
                <w:rFonts w:ascii="Arial" w:hAnsi="Arial"/>
                <w:sz w:val="17"/>
              </w:rPr>
              <w:t>Succeeded</w:t>
            </w:r>
          </w:p>
        </w:tc>
        <w:tc>
          <w:tcPr>
            <w:tcW w:type="dxa" w:w="7200"/>
            <w:tcMar>
              <w:top w:w="100" w:type="dxa"/>
              <w:start w:w="120" w:type="dxa"/>
              <w:bottom w:w="100" w:type="dxa"/>
              <w:end w:w="120" w:type="dxa"/>
            </w:tcMar>
            <w:vAlign w:val="center"/>
          </w:tcPr>
          <w:p>
            <w:r>
              <w:rPr>
                <w:rFonts w:ascii="Arial" w:hAnsi="Arial"/>
                <w:sz w:val="17"/>
              </w:rPr>
              <w:t>Items processed successfully.</w:t>
            </w:r>
          </w:p>
        </w:tc>
      </w:tr>
      <w:tr>
        <w:tc>
          <w:tcPr>
            <w:tcW w:type="dxa" w:w="2232"/>
            <w:tcMar>
              <w:top w:w="100" w:type="dxa"/>
              <w:start w:w="120" w:type="dxa"/>
              <w:bottom w:w="100" w:type="dxa"/>
              <w:end w:w="120" w:type="dxa"/>
            </w:tcMar>
            <w:vAlign w:val="center"/>
          </w:tcPr>
          <w:p>
            <w:r>
              <w:rPr>
                <w:rFonts w:ascii="Arial" w:hAnsi="Arial"/>
                <w:sz w:val="17"/>
              </w:rPr>
              <w:t>Failed</w:t>
            </w:r>
          </w:p>
        </w:tc>
        <w:tc>
          <w:tcPr>
            <w:tcW w:type="dxa" w:w="7200"/>
            <w:tcMar>
              <w:top w:w="100" w:type="dxa"/>
              <w:start w:w="120" w:type="dxa"/>
              <w:bottom w:w="100" w:type="dxa"/>
              <w:end w:w="120" w:type="dxa"/>
            </w:tcMar>
            <w:vAlign w:val="center"/>
          </w:tcPr>
          <w:p>
            <w:r>
              <w:rPr>
                <w:rFonts w:ascii="Arial" w:hAnsi="Arial"/>
                <w:sz w:val="17"/>
              </w:rPr>
              <w:t>Invalid items or items not processed successfully.</w:t>
            </w:r>
          </w:p>
        </w:tc>
      </w:tr>
      <w:tr>
        <w:tc>
          <w:tcPr>
            <w:tcW w:type="dxa" w:w="2232"/>
            <w:tcMar>
              <w:top w:w="100" w:type="dxa"/>
              <w:start w:w="120" w:type="dxa"/>
              <w:bottom w:w="100" w:type="dxa"/>
              <w:end w:w="120" w:type="dxa"/>
            </w:tcMar>
            <w:vAlign w:val="center"/>
          </w:tcPr>
          <w:p>
            <w:r>
              <w:rPr>
                <w:rFonts w:ascii="Arial" w:hAnsi="Arial"/>
                <w:sz w:val="17"/>
              </w:rPr>
              <w:t>Affected rows</w:t>
            </w:r>
          </w:p>
        </w:tc>
        <w:tc>
          <w:tcPr>
            <w:tcW w:type="dxa" w:w="7200"/>
            <w:tcMar>
              <w:top w:w="100" w:type="dxa"/>
              <w:start w:w="120" w:type="dxa"/>
              <w:bottom w:w="100" w:type="dxa"/>
              <w:end w:w="120" w:type="dxa"/>
            </w:tcMar>
            <w:vAlign w:val="center"/>
          </w:tcPr>
          <w:p>
            <w:r>
              <w:rPr>
                <w:rFonts w:ascii="Arial" w:hAnsi="Arial"/>
                <w:sz w:val="17"/>
              </w:rPr>
              <w:t>Rows modified or inserted by the process.</w:t>
            </w:r>
          </w:p>
        </w:tc>
      </w:tr>
      <w:tr>
        <w:tc>
          <w:tcPr>
            <w:tcW w:type="dxa" w:w="2232"/>
            <w:tcMar>
              <w:top w:w="100" w:type="dxa"/>
              <w:start w:w="120" w:type="dxa"/>
              <w:bottom w:w="100" w:type="dxa"/>
              <w:end w:w="120" w:type="dxa"/>
            </w:tcMar>
            <w:vAlign w:val="center"/>
          </w:tcPr>
          <w:p>
            <w:r>
              <w:rPr>
                <w:rFonts w:ascii="Arial" w:hAnsi="Arial"/>
                <w:sz w:val="17"/>
              </w:rPr>
              <w:t>Error</w:t>
            </w:r>
          </w:p>
        </w:tc>
        <w:tc>
          <w:tcPr>
            <w:tcW w:type="dxa" w:w="7200"/>
            <w:tcMar>
              <w:top w:w="100" w:type="dxa"/>
              <w:start w:w="120" w:type="dxa"/>
              <w:bottom w:w="100" w:type="dxa"/>
              <w:end w:w="120" w:type="dxa"/>
            </w:tcMar>
            <w:vAlign w:val="center"/>
          </w:tcPr>
          <w:p>
            <w:r>
              <w:rPr>
                <w:rFonts w:ascii="Arial" w:hAnsi="Arial"/>
                <w:sz w:val="17"/>
              </w:rPr>
              <w:t>Message reported when the execution finishes with Failed status.</w:t>
            </w:r>
          </w:p>
        </w:tc>
      </w:tr>
    </w:tbl>
    <w:p>
      <w:pPr>
        <w:spacing w:after="0"/>
      </w:pPr>
    </w:p>
    <w:p>
      <w:r>
        <w:br w:type="page"/>
      </w:r>
    </w:p>
    <w:p>
      <w:pPr>
        <w:spacing w:before="2000"/>
      </w:pPr>
      <w:r>
        <w:rPr>
          <w:rFonts w:ascii="Arial" w:hAnsi="Arial"/>
          <w:b/>
          <w:color w:val="1267E5"/>
          <w:sz w:val="20"/>
        </w:rPr>
        <w:t>PART V</w:t>
      </w:r>
    </w:p>
    <w:p>
      <w:pPr>
        <w:pStyle w:val="Heading1"/>
        <w:spacing w:before="80"/>
      </w:pPr>
      <w:r>
        <w:t>CSV Worker and API integration</w:t>
      </w:r>
    </w:p>
    <w:p/>
    <w:p>
      <w:pPr>
        <w:pStyle w:val="Heading1"/>
      </w:pPr>
      <w:r>
        <w:t>17. Prepare and process customers.csv</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rPr>
                <w:rFonts w:ascii="Consolas" w:hAnsi="Consolas"/>
                <w:color w:val="10233F"/>
                <w:sz w:val="15"/>
              </w:rPr>
              <w:t>Name,Email</w:t>
              <w:br/>
              <w:t>Ana Perez,ana@example.com</w:t>
              <w:br/>
              <w:t>Luis Gomez,luis@example.com</w:t>
            </w:r>
          </w:p>
        </w:tc>
      </w:tr>
    </w:tbl>
    <w:p>
      <w:pPr>
        <w:spacing w:after="0"/>
      </w:pPr>
    </w:p>
    <w:p>
      <w:pPr>
        <w:pStyle w:val="ListBullet"/>
        <w:spacing w:after="40"/>
      </w:pPr>
      <w:r>
        <w:rPr>
          <w:rFonts w:ascii="Arial" w:hAnsi="Arial"/>
        </w:rPr>
        <w:t>The header must be Name,Email.</w:t>
      </w:r>
    </w:p>
    <w:p>
      <w:pPr>
        <w:pStyle w:val="ListBullet"/>
        <w:spacing w:after="40"/>
      </w:pPr>
      <w:r>
        <w:rPr>
          <w:rFonts w:ascii="Arial" w:hAnsi="Arial"/>
        </w:rPr>
        <w:t>Name and Email are required; the file must contain at least one record.</w:t>
      </w:r>
    </w:p>
    <w:p>
      <w:pPr>
        <w:pStyle w:val="ListBullet"/>
        <w:spacing w:after="40"/>
      </w:pPr>
      <w:r>
        <w:rPr>
          <w:rFonts w:ascii="Arial" w:hAnsi="Arial"/>
        </w:rPr>
        <w:t>The sample implementation splits on commas and is not a full parser for complex values with embedded commas.</w:t>
      </w:r>
    </w:p>
    <w:p>
      <w:pPr>
        <w:pStyle w:val="ListBullet"/>
        <w:spacing w:after="40"/>
      </w:pPr>
      <w:r>
        <w:rPr>
          <w:rFonts w:ascii="Arial" w:hAnsi="Arial"/>
        </w:rPr>
        <w:t>After execution completion is confirmed, a valid file moves to Processed; an error moves it to Error.</w:t>
      </w:r>
    </w:p>
    <w:p>
      <w:pPr>
        <w:pStyle w:val="ListBullet"/>
        <w:spacing w:after="40"/>
      </w:pPr>
      <w:r>
        <w:rPr>
          <w:rFonts w:ascii="Arial" w:hAnsi="Arial"/>
        </w:rPr>
        <w:t>When licensing prevents a start, the file remains in Input and SqlWorkflowMonitor does not stop the customer process.</w:t>
      </w:r>
    </w:p>
    <w:p>
      <w:r>
        <w:br w:type="page"/>
      </w:r>
    </w:p>
    <w:p>
      <w:pPr>
        <w:pStyle w:val="Heading1"/>
      </w:pPr>
      <w:r>
        <w:t>18. Available endpoints</w:t>
      </w:r>
    </w:p>
    <w:p>
      <w:pPr>
        <w:jc w:val="center"/>
      </w:pPr>
      <w:r>
        <w:drawing>
          <wp:inline xmlns:a="http://schemas.openxmlformats.org/drawingml/2006/main" xmlns:pic="http://schemas.openxmlformats.org/drawingml/2006/picture">
            <wp:extent cx="5897880" cy="2996351"/>
            <wp:docPr id="4" name="Picture 4"/>
            <wp:cNvGraphicFramePr>
              <a:graphicFrameLocks noChangeAspect="1"/>
            </wp:cNvGraphicFramePr>
            <a:graphic>
              <a:graphicData uri="http://schemas.openxmlformats.org/drawingml/2006/picture">
                <pic:pic>
                  <pic:nvPicPr>
                    <pic:cNvPr id="0" name="image4.png"/>
                    <pic:cNvPicPr/>
                  </pic:nvPicPr>
                  <pic:blipFill>
                    <a:blip r:embed="rId14"/>
                    <a:stretch>
                      <a:fillRect/>
                    </a:stretch>
                  </pic:blipFill>
                  <pic:spPr>
                    <a:xfrm>
                      <a:off x="0" y="0"/>
                      <a:ext cx="5897880" cy="2996351"/>
                    </a:xfrm>
                    <a:prstGeom prst="rect"/>
                  </pic:spPr>
                </pic:pic>
              </a:graphicData>
            </a:graphic>
          </wp:inline>
        </w:drawing>
      </w:r>
    </w:p>
    <w:p>
      <w:pPr>
        <w:jc w:val="center"/>
      </w:pPr>
      <w:r>
        <w:rPr>
          <w:rFonts w:ascii="Arial" w:hAnsi="Arial"/>
          <w:i/>
          <w:color w:val="6B7280"/>
          <w:sz w:val="16"/>
        </w:rPr>
        <w:t>SqlWorkflowMonitor endpoints in Swagger in a controlled environment.</w:t>
      </w:r>
    </w:p>
    <w:tbl>
      <w:tblPr>
        <w:tblW w:type="auto" w:w="0"/>
        <w:jc w:val="center"/>
        <w:tblLayout w:type="fixed"/>
        <w:tblLook w:firstColumn="1" w:firstRow="1" w:lastColumn="0" w:lastRow="0" w:noHBand="0" w:noVBand="1" w:val="04A0"/>
      </w:tblPr>
      <w:tblGrid>
        <w:gridCol w:w="3360"/>
        <w:gridCol w:w="3360"/>
        <w:gridCol w:w="3360"/>
      </w:tblGrid>
      <w:tr>
        <w:trPr>
          <w:tblHeader w:val="true"/>
        </w:trPr>
        <w:tc>
          <w:tcPr>
            <w:tcW w:type="dxa" w:w="936"/>
            <w:shd w:fill="D9E2F3"/>
            <w:tcMar>
              <w:top w:w="100" w:type="dxa"/>
              <w:start w:w="120" w:type="dxa"/>
              <w:bottom w:w="100" w:type="dxa"/>
              <w:end w:w="120" w:type="dxa"/>
            </w:tcMar>
            <w:vAlign w:val="center"/>
          </w:tcPr>
          <w:p>
            <w:r>
              <w:rPr>
                <w:rFonts w:ascii="Arial" w:hAnsi="Arial"/>
                <w:b/>
                <w:color w:val="10233F"/>
                <w:sz w:val="15"/>
              </w:rPr>
              <w:t>Method</w:t>
            </w:r>
          </w:p>
        </w:tc>
        <w:tc>
          <w:tcPr>
            <w:tcW w:type="dxa" w:w="4176"/>
            <w:shd w:fill="D9E2F3"/>
            <w:tcMar>
              <w:top w:w="100" w:type="dxa"/>
              <w:start w:w="120" w:type="dxa"/>
              <w:bottom w:w="100" w:type="dxa"/>
              <w:end w:w="120" w:type="dxa"/>
            </w:tcMar>
            <w:vAlign w:val="center"/>
          </w:tcPr>
          <w:p>
            <w:r>
              <w:rPr>
                <w:rFonts w:ascii="Arial" w:hAnsi="Arial"/>
                <w:b/>
                <w:color w:val="10233F"/>
                <w:sz w:val="15"/>
              </w:rPr>
              <w:t>Route</w:t>
            </w:r>
          </w:p>
        </w:tc>
        <w:tc>
          <w:tcPr>
            <w:tcW w:type="dxa" w:w="4320"/>
            <w:shd w:fill="D9E2F3"/>
            <w:tcMar>
              <w:top w:w="100" w:type="dxa"/>
              <w:start w:w="120" w:type="dxa"/>
              <w:bottom w:w="100" w:type="dxa"/>
              <w:end w:w="120" w:type="dxa"/>
            </w:tcMar>
            <w:vAlign w:val="center"/>
          </w:tcPr>
          <w:p>
            <w:r>
              <w:rPr>
                <w:rFonts w:ascii="Arial" w:hAnsi="Arial"/>
                <w:b/>
                <w:color w:val="10233F"/>
                <w:sz w:val="15"/>
              </w:rPr>
              <w:t>Purpose</w:t>
            </w:r>
          </w:p>
        </w:tc>
      </w:tr>
      <w:tr>
        <w:tc>
          <w:tcPr>
            <w:tcW w:type="dxa" w:w="936"/>
            <w:tcMar>
              <w:top w:w="100" w:type="dxa"/>
              <w:start w:w="120" w:type="dxa"/>
              <w:bottom w:w="100" w:type="dxa"/>
              <w:end w:w="120" w:type="dxa"/>
            </w:tcMar>
            <w:vAlign w:val="center"/>
          </w:tcPr>
          <w:p>
            <w:r>
              <w:rPr>
                <w:rFonts w:ascii="Arial" w:hAnsi="Arial"/>
                <w:sz w:val="15"/>
              </w:rPr>
              <w:t>GET</w:t>
            </w:r>
          </w:p>
        </w:tc>
        <w:tc>
          <w:tcPr>
            <w:tcW w:type="dxa" w:w="4176"/>
            <w:tcMar>
              <w:top w:w="100" w:type="dxa"/>
              <w:start w:w="120" w:type="dxa"/>
              <w:bottom w:w="100" w:type="dxa"/>
              <w:end w:w="120" w:type="dxa"/>
            </w:tcMar>
            <w:vAlign w:val="center"/>
          </w:tcPr>
          <w:p>
            <w:r>
              <w:rPr>
                <w:rFonts w:ascii="Arial" w:hAnsi="Arial"/>
                <w:sz w:val="15"/>
              </w:rPr>
              <w:t>/api/health</w:t>
            </w:r>
          </w:p>
        </w:tc>
        <w:tc>
          <w:tcPr>
            <w:tcW w:type="dxa" w:w="4320"/>
            <w:tcMar>
              <w:top w:w="100" w:type="dxa"/>
              <w:start w:w="120" w:type="dxa"/>
              <w:bottom w:w="100" w:type="dxa"/>
              <w:end w:w="120" w:type="dxa"/>
            </w:tcMar>
            <w:vAlign w:val="center"/>
          </w:tcPr>
          <w:p>
            <w:r>
              <w:rPr>
                <w:rFonts w:ascii="Arial" w:hAnsi="Arial"/>
                <w:sz w:val="15"/>
              </w:rPr>
              <w:t>Check API and database availability.</w:t>
            </w:r>
          </w:p>
        </w:tc>
      </w:tr>
      <w:tr>
        <w:tc>
          <w:tcPr>
            <w:tcW w:type="dxa" w:w="936"/>
            <w:tcMar>
              <w:top w:w="100" w:type="dxa"/>
              <w:start w:w="120" w:type="dxa"/>
              <w:bottom w:w="100" w:type="dxa"/>
              <w:end w:w="120" w:type="dxa"/>
            </w:tcMar>
            <w:vAlign w:val="center"/>
          </w:tcPr>
          <w:p>
            <w:r>
              <w:rPr>
                <w:rFonts w:ascii="Arial" w:hAnsi="Arial"/>
                <w:sz w:val="15"/>
              </w:rPr>
              <w:t>GET</w:t>
            </w:r>
          </w:p>
        </w:tc>
        <w:tc>
          <w:tcPr>
            <w:tcW w:type="dxa" w:w="4176"/>
            <w:tcMar>
              <w:top w:w="100" w:type="dxa"/>
              <w:start w:w="120" w:type="dxa"/>
              <w:bottom w:w="100" w:type="dxa"/>
              <w:end w:w="120" w:type="dxa"/>
            </w:tcMar>
            <w:vAlign w:val="center"/>
          </w:tcPr>
          <w:p>
            <w:r>
              <w:rPr>
                <w:rFonts w:ascii="Arial" w:hAnsi="Arial"/>
                <w:sz w:val="15"/>
              </w:rPr>
              <w:t>/api/executions?limit=100</w:t>
            </w:r>
          </w:p>
        </w:tc>
        <w:tc>
          <w:tcPr>
            <w:tcW w:type="dxa" w:w="4320"/>
            <w:tcMar>
              <w:top w:w="100" w:type="dxa"/>
              <w:start w:w="120" w:type="dxa"/>
              <w:bottom w:w="100" w:type="dxa"/>
              <w:end w:w="120" w:type="dxa"/>
            </w:tcMar>
            <w:vAlign w:val="center"/>
          </w:tcPr>
          <w:p>
            <w:r>
              <w:rPr>
                <w:rFonts w:ascii="Arial" w:hAnsi="Arial"/>
                <w:sz w:val="15"/>
              </w:rPr>
              <w:t>List executions; maximum 500.</w:t>
            </w:r>
          </w:p>
        </w:tc>
      </w:tr>
      <w:tr>
        <w:tc>
          <w:tcPr>
            <w:tcW w:type="dxa" w:w="936"/>
            <w:tcMar>
              <w:top w:w="100" w:type="dxa"/>
              <w:start w:w="120" w:type="dxa"/>
              <w:bottom w:w="100" w:type="dxa"/>
              <w:end w:w="120" w:type="dxa"/>
            </w:tcMar>
            <w:vAlign w:val="center"/>
          </w:tcPr>
          <w:p>
            <w:r>
              <w:rPr>
                <w:rFonts w:ascii="Arial" w:hAnsi="Arial"/>
                <w:sz w:val="15"/>
              </w:rPr>
              <w:t>GET</w:t>
            </w:r>
          </w:p>
        </w:tc>
        <w:tc>
          <w:tcPr>
            <w:tcW w:type="dxa" w:w="4176"/>
            <w:tcMar>
              <w:top w:w="100" w:type="dxa"/>
              <w:start w:w="120" w:type="dxa"/>
              <w:bottom w:w="100" w:type="dxa"/>
              <w:end w:w="120" w:type="dxa"/>
            </w:tcMar>
            <w:vAlign w:val="center"/>
          </w:tcPr>
          <w:p>
            <w:r>
              <w:rPr>
                <w:rFonts w:ascii="Arial" w:hAnsi="Arial"/>
                <w:sz w:val="15"/>
              </w:rPr>
              <w:t>/api/executions/{id}</w:t>
            </w:r>
          </w:p>
        </w:tc>
        <w:tc>
          <w:tcPr>
            <w:tcW w:type="dxa" w:w="4320"/>
            <w:tcMar>
              <w:top w:w="100" w:type="dxa"/>
              <w:start w:w="120" w:type="dxa"/>
              <w:bottom w:w="100" w:type="dxa"/>
              <w:end w:w="120" w:type="dxa"/>
            </w:tcMar>
            <w:vAlign w:val="center"/>
          </w:tcPr>
          <w:p>
            <w:r>
              <w:rPr>
                <w:rFonts w:ascii="Arial" w:hAnsi="Arial"/>
                <w:sz w:val="15"/>
              </w:rPr>
              <w:t>Retrieve one execution.</w:t>
            </w:r>
          </w:p>
        </w:tc>
      </w:tr>
      <w:tr>
        <w:tc>
          <w:tcPr>
            <w:tcW w:type="dxa" w:w="936"/>
            <w:tcMar>
              <w:top w:w="100" w:type="dxa"/>
              <w:start w:w="120" w:type="dxa"/>
              <w:bottom w:w="100" w:type="dxa"/>
              <w:end w:w="120" w:type="dxa"/>
            </w:tcMar>
            <w:vAlign w:val="center"/>
          </w:tcPr>
          <w:p>
            <w:r>
              <w:rPr>
                <w:rFonts w:ascii="Arial" w:hAnsi="Arial"/>
                <w:sz w:val="15"/>
              </w:rPr>
              <w:t>GET</w:t>
            </w:r>
          </w:p>
        </w:tc>
        <w:tc>
          <w:tcPr>
            <w:tcW w:type="dxa" w:w="4176"/>
            <w:tcMar>
              <w:top w:w="100" w:type="dxa"/>
              <w:start w:w="120" w:type="dxa"/>
              <w:bottom w:w="100" w:type="dxa"/>
              <w:end w:w="120" w:type="dxa"/>
            </w:tcMar>
            <w:vAlign w:val="center"/>
          </w:tcPr>
          <w:p>
            <w:r>
              <w:rPr>
                <w:rFonts w:ascii="Arial" w:hAnsi="Arial"/>
                <w:sz w:val="15"/>
              </w:rPr>
              <w:t>/api/executions/stuck?olderThanMinutes=30</w:t>
            </w:r>
          </w:p>
        </w:tc>
        <w:tc>
          <w:tcPr>
            <w:tcW w:type="dxa" w:w="4320"/>
            <w:tcMar>
              <w:top w:w="100" w:type="dxa"/>
              <w:start w:w="120" w:type="dxa"/>
              <w:bottom w:w="100" w:type="dxa"/>
              <w:end w:w="120" w:type="dxa"/>
            </w:tcMar>
            <w:vAlign w:val="center"/>
          </w:tcPr>
          <w:p>
            <w:r>
              <w:rPr>
                <w:rFonts w:ascii="Arial" w:hAnsi="Arial"/>
                <w:sz w:val="15"/>
              </w:rPr>
              <w:t>Detect overdue executions.</w:t>
            </w:r>
          </w:p>
        </w:tc>
      </w:tr>
      <w:tr>
        <w:tc>
          <w:tcPr>
            <w:tcW w:type="dxa" w:w="936"/>
            <w:tcMar>
              <w:top w:w="100" w:type="dxa"/>
              <w:start w:w="120" w:type="dxa"/>
              <w:bottom w:w="100" w:type="dxa"/>
              <w:end w:w="120" w:type="dxa"/>
            </w:tcMar>
            <w:vAlign w:val="center"/>
          </w:tcPr>
          <w:p>
            <w:r>
              <w:rPr>
                <w:rFonts w:ascii="Arial" w:hAnsi="Arial"/>
                <w:sz w:val="15"/>
              </w:rPr>
              <w:t>POST</w:t>
            </w:r>
          </w:p>
        </w:tc>
        <w:tc>
          <w:tcPr>
            <w:tcW w:type="dxa" w:w="4176"/>
            <w:tcMar>
              <w:top w:w="100" w:type="dxa"/>
              <w:start w:w="120" w:type="dxa"/>
              <w:bottom w:w="100" w:type="dxa"/>
              <w:end w:w="120" w:type="dxa"/>
            </w:tcMar>
            <w:vAlign w:val="center"/>
          </w:tcPr>
          <w:p>
            <w:r>
              <w:rPr>
                <w:rFonts w:ascii="Arial" w:hAnsi="Arial"/>
                <w:sz w:val="15"/>
              </w:rPr>
              <w:t>/api/executions/start</w:t>
            </w:r>
          </w:p>
        </w:tc>
        <w:tc>
          <w:tcPr>
            <w:tcW w:type="dxa" w:w="4320"/>
            <w:tcMar>
              <w:top w:w="100" w:type="dxa"/>
              <w:start w:w="120" w:type="dxa"/>
              <w:bottom w:w="100" w:type="dxa"/>
              <w:end w:w="120" w:type="dxa"/>
            </w:tcMar>
            <w:vAlign w:val="center"/>
          </w:tcPr>
          <w:p>
            <w:r>
              <w:rPr>
                <w:rFonts w:ascii="Arial" w:hAnsi="Arial"/>
                <w:sz w:val="15"/>
              </w:rPr>
              <w:t>Start an execution.</w:t>
            </w:r>
          </w:p>
        </w:tc>
      </w:tr>
      <w:tr>
        <w:tc>
          <w:tcPr>
            <w:tcW w:type="dxa" w:w="936"/>
            <w:tcMar>
              <w:top w:w="100" w:type="dxa"/>
              <w:start w:w="120" w:type="dxa"/>
              <w:bottom w:w="100" w:type="dxa"/>
              <w:end w:w="120" w:type="dxa"/>
            </w:tcMar>
            <w:vAlign w:val="center"/>
          </w:tcPr>
          <w:p>
            <w:r>
              <w:rPr>
                <w:rFonts w:ascii="Arial" w:hAnsi="Arial"/>
                <w:sz w:val="15"/>
              </w:rPr>
              <w:t>POST</w:t>
            </w:r>
          </w:p>
        </w:tc>
        <w:tc>
          <w:tcPr>
            <w:tcW w:type="dxa" w:w="4176"/>
            <w:tcMar>
              <w:top w:w="100" w:type="dxa"/>
              <w:start w:w="120" w:type="dxa"/>
              <w:bottom w:w="100" w:type="dxa"/>
              <w:end w:w="120" w:type="dxa"/>
            </w:tcMar>
            <w:vAlign w:val="center"/>
          </w:tcPr>
          <w:p>
            <w:r>
              <w:rPr>
                <w:rFonts w:ascii="Arial" w:hAnsi="Arial"/>
                <w:sz w:val="15"/>
              </w:rPr>
              <w:t>/api/executions/{id}/finish</w:t>
            </w:r>
          </w:p>
        </w:tc>
        <w:tc>
          <w:tcPr>
            <w:tcW w:type="dxa" w:w="4320"/>
            <w:tcMar>
              <w:top w:w="100" w:type="dxa"/>
              <w:start w:w="120" w:type="dxa"/>
              <w:bottom w:w="100" w:type="dxa"/>
              <w:end w:w="120" w:type="dxa"/>
            </w:tcMar>
            <w:vAlign w:val="center"/>
          </w:tcPr>
          <w:p>
            <w:r>
              <w:rPr>
                <w:rFonts w:ascii="Arial" w:hAnsi="Arial"/>
                <w:sz w:val="15"/>
              </w:rPr>
              <w:t>Complete an execution.</w:t>
            </w:r>
          </w:p>
        </w:tc>
      </w:tr>
    </w:tbl>
    <w:p>
      <w:pPr>
        <w:spacing w:after="0"/>
      </w:pPr>
    </w:p>
    <w:p>
      <w:r>
        <w:br w:type="page"/>
      </w:r>
    </w:p>
    <w:p>
      <w:pPr>
        <w:pStyle w:val="Heading1"/>
      </w:pPr>
      <w:r>
        <w:t>19. Start and finish executions</w:t>
      </w:r>
    </w:p>
    <w:tbl>
      <w:tblPr>
        <w:tblW w:type="auto" w:w="0"/>
        <w:jc w:val="center"/>
        <w:tblLook w:firstColumn="1" w:firstRow="1" w:lastColumn="0" w:lastRow="0" w:noHBand="0" w:noVBand="1" w:val="04A0"/>
      </w:tblPr>
      <w:tblGrid>
        <w:gridCol w:w="10080"/>
      </w:tblGrid>
      <w:tr>
        <w:tc>
          <w:tcPr>
            <w:tcW w:type="dxa" w:w="10080"/>
            <w:shd w:fill="F7F8FA"/>
            <w:tcMar>
              <w:top w:w="130" w:type="dxa"/>
              <w:start w:w="150" w:type="dxa"/>
              <w:bottom w:w="130" w:type="dxa"/>
              <w:end w:w="150" w:type="dxa"/>
            </w:tcMar>
          </w:tcPr>
          <w:p>
            <w:pPr>
              <w:pStyle w:val="CodeBlock"/>
            </w:pPr>
            <w:r>
              <w:rPr>
                <w:rFonts w:ascii="Consolas" w:hAnsi="Consolas"/>
                <w:color w:val="10233F"/>
                <w:sz w:val="15"/>
              </w:rPr>
              <w:t>Protected API requests must include the configured API key.</w:t>
              <w:br/>
              <w:t>POST /api/executions/start</w:t>
              <w:br/>
              <w:t>{ "processId": 1, "workerId": "CustomerCsvWorker" }</w:t>
            </w:r>
          </w:p>
        </w:tc>
      </w:tr>
    </w:tbl>
    <w:p>
      <w:pPr>
        <w:spacing w:after="0"/>
      </w:pPr>
    </w:p>
    <w:p>
      <w:r>
        <w:rPr>
          <w:rFonts w:ascii="Arial" w:hAnsi="Arial"/>
          <w:i w:val="0"/>
        </w:rPr>
        <w:t>A Failed execution must include errorMessage. Metrics cannot be negative, and SucceededItems + FailedItems cannot exceed TotalItems.</w:t>
      </w:r>
    </w:p>
    <w:p>
      <w:r>
        <w:br w:type="page"/>
      </w:r>
    </w:p>
    <w:p>
      <w:pPr>
        <w:spacing w:before="2000"/>
      </w:pPr>
      <w:r>
        <w:rPr>
          <w:rFonts w:ascii="Arial" w:hAnsi="Arial"/>
          <w:b/>
          <w:color w:val="1267E5"/>
          <w:sz w:val="20"/>
        </w:rPr>
        <w:t>PART VI</w:t>
      </w:r>
    </w:p>
    <w:p>
      <w:pPr>
        <w:pStyle w:val="Heading1"/>
        <w:spacing w:before="80"/>
      </w:pPr>
      <w:r>
        <w:t>Secure operation, incidents, and closure</w:t>
      </w:r>
    </w:p>
    <w:p/>
    <w:p>
      <w:pPr>
        <w:pStyle w:val="Heading1"/>
      </w:pPr>
      <w:r>
        <w:t>20. Minimum deployment security</w:t>
      </w:r>
    </w:p>
    <w:tbl>
      <w:tblPr>
        <w:tblW w:type="auto" w:w="0"/>
        <w:jc w:val="center"/>
        <w:tblLayout w:type="fixed"/>
        <w:tblLook w:firstColumn="1" w:firstRow="1" w:lastColumn="0" w:lastRow="0" w:noHBand="0" w:noVBand="1" w:val="04A0"/>
      </w:tblPr>
      <w:tblGrid>
        <w:gridCol w:w="9576"/>
      </w:tblGrid>
      <w:tr>
        <w:tc>
          <w:tcPr>
            <w:tcW w:type="dxa" w:w="10080"/>
            <w:shd w:fill="FCE8EB"/>
            <w:tcMar>
              <w:top w:w="150" w:type="dxa"/>
              <w:start w:w="180" w:type="dxa"/>
              <w:bottom w:w="150" w:type="dxa"/>
              <w:end w:w="180" w:type="dxa"/>
            </w:tcMar>
          </w:tcPr>
          <w:p>
            <w:r>
              <w:rPr>
                <w:rFonts w:ascii="Arial" w:hAnsi="Arial"/>
                <w:b/>
                <w:color w:val="1267E5"/>
                <w:sz w:val="18"/>
              </w:rPr>
              <w:t>Do not expose directly to the Internet</w:t>
            </w:r>
          </w:p>
          <w:p>
            <w:pPr>
              <w:spacing w:after="0"/>
            </w:pPr>
            <w:r>
              <w:rPr>
                <w:rFonts w:ascii="Arial" w:hAnsi="Arial"/>
                <w:color w:val="24364B"/>
                <w:sz w:val="18"/>
              </w:rPr>
              <w:t>SqlWorkflowMonitor 1.1.0 implements minimum application security: the dashboard requires a configured local administrator account, and protected API endpoints require an API key shared with the Worker or authorized integrations. The public health endpoint remains available for operational checks. Restrict port 5080 through firewall rules, a reverse proxy, VPN, or network segmentation. Do not publish Swagger on untrusted networks.</w:t>
            </w:r>
          </w:p>
        </w:tc>
      </w:tr>
    </w:tbl>
    <w:p>
      <w:pPr>
        <w:spacing w:after="0"/>
      </w:pPr>
    </w:p>
    <w:p>
      <w:pPr>
        <w:pStyle w:val="ListBullet"/>
        <w:spacing w:after="40"/>
      </w:pPr>
      <w:r>
        <w:rPr>
          <w:rFonts w:ascii="Arial" w:hAnsi="Arial"/>
        </w:rPr>
        <w:t>Use least-privilege service accounts.</w:t>
      </w:r>
    </w:p>
    <w:p>
      <w:pPr>
        <w:pStyle w:val="ListBullet"/>
        <w:spacing w:after="40"/>
      </w:pPr>
      <w:r>
        <w:rPr>
          <w:rFonts w:ascii="Arial" w:hAnsi="Arial"/>
        </w:rPr>
        <w:t>Protect appsettings.json and the license file.</w:t>
      </w:r>
    </w:p>
    <w:p>
      <w:pPr>
        <w:pStyle w:val="ListBullet"/>
        <w:spacing w:after="40"/>
      </w:pPr>
      <w:r>
        <w:rPr>
          <w:rFonts w:ascii="Arial" w:hAnsi="Arial"/>
        </w:rPr>
        <w:t>Do not write passwords, tokens, or sensitive personal data in ErrorMessage.</w:t>
      </w:r>
    </w:p>
    <w:p>
      <w:pPr>
        <w:pStyle w:val="ListBullet"/>
        <w:spacing w:after="40"/>
      </w:pPr>
      <w:r>
        <w:rPr>
          <w:rFonts w:ascii="Arial" w:hAnsi="Arial"/>
        </w:rPr>
        <w:t>Use appropriate SQL Server backup, encryption, and access policies.</w:t>
      </w:r>
    </w:p>
    <w:p>
      <w:pPr>
        <w:pStyle w:val="ListBullet"/>
        <w:spacing w:after="40"/>
      </w:pPr>
      <w:r>
        <w:rPr>
          <w:rFonts w:ascii="Arial" w:hAnsi="Arial"/>
        </w:rPr>
        <w:t>Review logs and service status after every update.</w:t>
      </w:r>
    </w:p>
    <w:p>
      <w:pPr>
        <w:pStyle w:val="Heading1"/>
      </w:pPr>
      <w:r>
        <w:t>21. Common problems</w:t>
      </w:r>
    </w:p>
    <w:tbl>
      <w:tblPr>
        <w:tblW w:type="auto" w:w="0"/>
        <w:jc w:val="center"/>
        <w:tblLayout w:type="fixed"/>
        <w:tblLook w:firstColumn="1" w:firstRow="1" w:lastColumn="0" w:lastRow="0" w:noHBand="0" w:noVBand="1" w:val="04A0"/>
      </w:tblPr>
      <w:tblGrid>
        <w:gridCol w:w="5040"/>
        <w:gridCol w:w="5040"/>
      </w:tblGrid>
      <w:tr>
        <w:trPr>
          <w:tblHeader w:val="true"/>
        </w:trPr>
        <w:tc>
          <w:tcPr>
            <w:tcW w:type="dxa" w:w="2952"/>
            <w:shd w:fill="D9E2F3"/>
            <w:tcMar>
              <w:top w:w="100" w:type="dxa"/>
              <w:start w:w="120" w:type="dxa"/>
              <w:bottom w:w="100" w:type="dxa"/>
              <w:end w:w="120" w:type="dxa"/>
            </w:tcMar>
            <w:vAlign w:val="center"/>
          </w:tcPr>
          <w:p>
            <w:r>
              <w:rPr>
                <w:rFonts w:ascii="Arial" w:hAnsi="Arial"/>
                <w:b/>
                <w:color w:val="10233F"/>
                <w:sz w:val="16"/>
              </w:rPr>
              <w:t>Problem</w:t>
            </w:r>
          </w:p>
        </w:tc>
        <w:tc>
          <w:tcPr>
            <w:tcW w:type="dxa" w:w="6480"/>
            <w:shd w:fill="D9E2F3"/>
            <w:tcMar>
              <w:top w:w="100" w:type="dxa"/>
              <w:start w:w="120" w:type="dxa"/>
              <w:bottom w:w="100" w:type="dxa"/>
              <w:end w:w="120" w:type="dxa"/>
            </w:tcMar>
            <w:vAlign w:val="center"/>
          </w:tcPr>
          <w:p>
            <w:r>
              <w:rPr>
                <w:rFonts w:ascii="Arial" w:hAnsi="Arial"/>
                <w:b/>
                <w:color w:val="10233F"/>
                <w:sz w:val="16"/>
              </w:rPr>
              <w:t>Recommended check</w:t>
            </w:r>
          </w:p>
        </w:tc>
      </w:tr>
      <w:tr>
        <w:tc>
          <w:tcPr>
            <w:tcW w:type="dxa" w:w="2952"/>
            <w:tcMar>
              <w:top w:w="100" w:type="dxa"/>
              <w:start w:w="120" w:type="dxa"/>
              <w:bottom w:w="100" w:type="dxa"/>
              <w:end w:w="120" w:type="dxa"/>
            </w:tcMar>
            <w:vAlign w:val="center"/>
          </w:tcPr>
          <w:p>
            <w:r>
              <w:rPr>
                <w:rFonts w:ascii="Arial" w:hAnsi="Arial"/>
                <w:sz w:val="16"/>
              </w:rPr>
              <w:t>Dashboard does not open</w:t>
            </w:r>
          </w:p>
        </w:tc>
        <w:tc>
          <w:tcPr>
            <w:tcW w:type="dxa" w:w="6480"/>
            <w:tcMar>
              <w:top w:w="100" w:type="dxa"/>
              <w:start w:w="120" w:type="dxa"/>
              <w:bottom w:w="100" w:type="dxa"/>
              <w:end w:w="120" w:type="dxa"/>
            </w:tcMar>
            <w:vAlign w:val="center"/>
          </w:tcPr>
          <w:p>
            <w:r>
              <w:rPr>
                <w:rFonts w:ascii="Arial" w:hAnsi="Arial"/>
                <w:sz w:val="16"/>
              </w:rPr>
              <w:t>SqlWorkflowMonitor Web status, port 5080, and firewall.</w:t>
            </w:r>
          </w:p>
        </w:tc>
      </w:tr>
      <w:tr>
        <w:tc>
          <w:tcPr>
            <w:tcW w:type="dxa" w:w="2952"/>
            <w:tcMar>
              <w:top w:w="100" w:type="dxa"/>
              <w:start w:w="120" w:type="dxa"/>
              <w:bottom w:w="100" w:type="dxa"/>
              <w:end w:w="120" w:type="dxa"/>
            </w:tcMar>
            <w:vAlign w:val="center"/>
          </w:tcPr>
          <w:p>
            <w:r>
              <w:rPr>
                <w:rFonts w:ascii="Arial" w:hAnsi="Arial"/>
                <w:sz w:val="16"/>
              </w:rPr>
              <w:t>Health returns 503</w:t>
            </w:r>
          </w:p>
        </w:tc>
        <w:tc>
          <w:tcPr>
            <w:tcW w:type="dxa" w:w="6480"/>
            <w:tcMar>
              <w:top w:w="100" w:type="dxa"/>
              <w:start w:w="120" w:type="dxa"/>
              <w:bottom w:w="100" w:type="dxa"/>
              <w:end w:w="120" w:type="dxa"/>
            </w:tcMar>
            <w:vAlign w:val="center"/>
          </w:tcPr>
          <w:p>
            <w:r>
              <w:rPr>
                <w:rFonts w:ascii="Arial" w:hAnsi="Arial"/>
                <w:sz w:val="16"/>
              </w:rPr>
              <w:t>SQL Server, database name, and ConnectionStrings:WorkflowMonitor.</w:t>
            </w:r>
          </w:p>
        </w:tc>
      </w:tr>
      <w:tr>
        <w:tc>
          <w:tcPr>
            <w:tcW w:type="dxa" w:w="2952"/>
            <w:tcMar>
              <w:top w:w="100" w:type="dxa"/>
              <w:start w:w="120" w:type="dxa"/>
              <w:bottom w:w="100" w:type="dxa"/>
              <w:end w:w="120" w:type="dxa"/>
            </w:tcMar>
            <w:vAlign w:val="center"/>
          </w:tcPr>
          <w:p>
            <w:r>
              <w:rPr>
                <w:rFonts w:ascii="Arial" w:hAnsi="Arial"/>
                <w:sz w:val="16"/>
              </w:rPr>
              <w:t>Worker does not process</w:t>
            </w:r>
          </w:p>
        </w:tc>
        <w:tc>
          <w:tcPr>
            <w:tcW w:type="dxa" w:w="6480"/>
            <w:tcMar>
              <w:top w:w="100" w:type="dxa"/>
              <w:start w:w="120" w:type="dxa"/>
              <w:bottom w:w="100" w:type="dxa"/>
              <w:end w:w="120" w:type="dxa"/>
            </w:tcMar>
            <w:vAlign w:val="center"/>
          </w:tcPr>
          <w:p>
            <w:r>
              <w:rPr>
                <w:rFonts w:ascii="Arial" w:hAnsi="Arial"/>
                <w:sz w:val="16"/>
              </w:rPr>
              <w:t>Worker service, customers.csv, folders, BaseUrl, and polling interval.</w:t>
            </w:r>
          </w:p>
        </w:tc>
      </w:tr>
      <w:tr>
        <w:tc>
          <w:tcPr>
            <w:tcW w:type="dxa" w:w="2952"/>
            <w:tcMar>
              <w:top w:w="100" w:type="dxa"/>
              <w:start w:w="120" w:type="dxa"/>
              <w:bottom w:w="100" w:type="dxa"/>
              <w:end w:w="120" w:type="dxa"/>
            </w:tcMar>
            <w:vAlign w:val="center"/>
          </w:tcPr>
          <w:p>
            <w:r>
              <w:rPr>
                <w:rFonts w:ascii="Arial" w:hAnsi="Arial"/>
                <w:sz w:val="16"/>
              </w:rPr>
              <w:t>Start returns 403</w:t>
            </w:r>
          </w:p>
        </w:tc>
        <w:tc>
          <w:tcPr>
            <w:tcW w:type="dxa" w:w="6480"/>
            <w:tcMar>
              <w:top w:w="100" w:type="dxa"/>
              <w:start w:w="120" w:type="dxa"/>
              <w:bottom w:w="100" w:type="dxa"/>
              <w:end w:w="120" w:type="dxa"/>
            </w:tcMar>
            <w:vAlign w:val="center"/>
          </w:tcPr>
          <w:p>
            <w:r>
              <w:rPr>
                <w:rFonts w:ascii="Arial" w:hAnsi="Arial"/>
                <w:sz w:val="16"/>
              </w:rPr>
              <w:t>License status, expiration, processes, and WorkerId.</w:t>
            </w:r>
          </w:p>
        </w:tc>
      </w:tr>
      <w:tr>
        <w:tc>
          <w:tcPr>
            <w:tcW w:type="dxa" w:w="2952"/>
            <w:tcMar>
              <w:top w:w="100" w:type="dxa"/>
              <w:start w:w="120" w:type="dxa"/>
              <w:bottom w:w="100" w:type="dxa"/>
              <w:end w:w="120" w:type="dxa"/>
            </w:tcMar>
            <w:vAlign w:val="center"/>
          </w:tcPr>
          <w:p>
            <w:r>
              <w:rPr>
                <w:rFonts w:ascii="Arial" w:hAnsi="Arial"/>
                <w:sz w:val="16"/>
              </w:rPr>
              <w:t>Invalid license</w:t>
            </w:r>
          </w:p>
        </w:tc>
        <w:tc>
          <w:tcPr>
            <w:tcW w:type="dxa" w:w="6480"/>
            <w:tcMar>
              <w:top w:w="100" w:type="dxa"/>
              <w:start w:w="120" w:type="dxa"/>
              <w:bottom w:w="100" w:type="dxa"/>
              <w:end w:w="120" w:type="dxa"/>
            </w:tcMar>
            <w:vAlign w:val="center"/>
          </w:tcPr>
          <w:p>
            <w:r>
              <w:rPr>
                <w:rFonts w:ascii="Arial" w:hAnsi="Arial"/>
                <w:sz w:val="16"/>
              </w:rPr>
              <w:t>InstallationId, signature, dates, location, and sqlworkflowmonitor.lic filename.</w:t>
            </w:r>
          </w:p>
        </w:tc>
      </w:tr>
      <w:tr>
        <w:tc>
          <w:tcPr>
            <w:tcW w:type="dxa" w:w="2952"/>
            <w:tcMar>
              <w:top w:w="100" w:type="dxa"/>
              <w:start w:w="120" w:type="dxa"/>
              <w:bottom w:w="100" w:type="dxa"/>
              <w:end w:w="120" w:type="dxa"/>
            </w:tcMar>
            <w:vAlign w:val="center"/>
          </w:tcPr>
          <w:p>
            <w:r>
              <w:rPr>
                <w:rFonts w:ascii="Arial" w:hAnsi="Arial"/>
                <w:sz w:val="16"/>
              </w:rPr>
              <w:t>Execution remains Running</w:t>
            </w:r>
          </w:p>
        </w:tc>
        <w:tc>
          <w:tcPr>
            <w:tcW w:type="dxa" w:w="6480"/>
            <w:tcMar>
              <w:top w:w="100" w:type="dxa"/>
              <w:start w:w="120" w:type="dxa"/>
              <w:bottom w:w="100" w:type="dxa"/>
              <w:end w:w="120" w:type="dxa"/>
            </w:tcMar>
            <w:vAlign w:val="center"/>
          </w:tcPr>
          <w:p>
            <w:r>
              <w:rPr>
                <w:rFonts w:ascii="Arial" w:hAnsi="Arial"/>
                <w:sz w:val="16"/>
              </w:rPr>
              <w:t>Logs and finish endpoint response; close using the actual status.</w:t>
            </w:r>
          </w:p>
        </w:tc>
      </w:tr>
    </w:tbl>
    <w:p>
      <w:pPr>
        <w:spacing w:after="0"/>
      </w:pPr>
    </w:p>
    <w:p>
      <w:pPr>
        <w:pStyle w:val="Heading1"/>
      </w:pPr>
      <w:r>
        <w:t>22. Backup, update, and recovery</w:t>
      </w:r>
    </w:p>
    <w:p>
      <w:pPr>
        <w:spacing w:after="60"/>
        <w:ind w:left="29" w:hanging="29"/>
      </w:pPr>
      <w:r>
        <w:rPr>
          <w:rFonts w:ascii="Arial" w:hAnsi="Arial"/>
          <w:b/>
          <w:color w:val="10233F"/>
        </w:rPr>
        <w:t xml:space="preserve">1.  </w:t>
      </w:r>
      <w:r>
        <w:rPr>
          <w:rFonts w:ascii="Arial" w:hAnsi="Arial"/>
        </w:rPr>
        <w:t>Stop the Worker to prevent new file processing during the update.</w:t>
      </w:r>
    </w:p>
    <w:p>
      <w:pPr>
        <w:spacing w:after="60"/>
        <w:ind w:left="29" w:hanging="29"/>
      </w:pPr>
      <w:r>
        <w:rPr>
          <w:rFonts w:ascii="Arial" w:hAnsi="Arial"/>
          <w:b/>
          <w:color w:val="10233F"/>
        </w:rPr>
        <w:t xml:space="preserve">2.  </w:t>
      </w:r>
      <w:r>
        <w:rPr>
          <w:rFonts w:ascii="Arial" w:hAnsi="Arial"/>
        </w:rPr>
        <w:t>Back up the SqlWorkflowMonitor database.</w:t>
      </w:r>
    </w:p>
    <w:p>
      <w:pPr>
        <w:spacing w:after="60"/>
        <w:ind w:left="29" w:hanging="29"/>
      </w:pPr>
      <w:r>
        <w:rPr>
          <w:rFonts w:ascii="Arial" w:hAnsi="Arial"/>
          <w:b/>
          <w:color w:val="10233F"/>
        </w:rPr>
        <w:t xml:space="preserve">3.  </w:t>
      </w:r>
      <w:r>
        <w:rPr>
          <w:rFonts w:ascii="Arial" w:hAnsi="Arial"/>
        </w:rPr>
        <w:t>Back up appsettings.json and the license.</w:t>
      </w:r>
    </w:p>
    <w:p>
      <w:pPr>
        <w:spacing w:after="60"/>
        <w:ind w:left="29" w:hanging="29"/>
      </w:pPr>
      <w:r>
        <w:rPr>
          <w:rFonts w:ascii="Arial" w:hAnsi="Arial"/>
          <w:b/>
          <w:color w:val="10233F"/>
        </w:rPr>
        <w:t xml:space="preserve">4.  </w:t>
      </w:r>
      <w:r>
        <w:rPr>
          <w:rFonts w:ascii="Arial" w:hAnsi="Arial"/>
        </w:rPr>
        <w:t>Apply the version-specific upgrade script when one is provided.</w:t>
      </w:r>
    </w:p>
    <w:p>
      <w:pPr>
        <w:spacing w:after="60"/>
        <w:ind w:left="29" w:hanging="29"/>
      </w:pPr>
      <w:r>
        <w:rPr>
          <w:rFonts w:ascii="Arial" w:hAnsi="Arial"/>
          <w:b/>
          <w:color w:val="10233F"/>
        </w:rPr>
        <w:t xml:space="preserve">5.  </w:t>
      </w:r>
      <w:r>
        <w:rPr>
          <w:rFonts w:ascii="Arial" w:hAnsi="Arial"/>
        </w:rPr>
        <w:t>Replace binaries and restart services.</w:t>
      </w:r>
    </w:p>
    <w:p>
      <w:pPr>
        <w:spacing w:after="60"/>
        <w:ind w:left="29" w:hanging="29"/>
      </w:pPr>
      <w:r>
        <w:rPr>
          <w:rFonts w:ascii="Arial" w:hAnsi="Arial"/>
          <w:b/>
          <w:color w:val="10233F"/>
        </w:rPr>
        <w:t xml:space="preserve">6.  </w:t>
      </w:r>
      <w:r>
        <w:rPr>
          <w:rFonts w:ascii="Arial" w:hAnsi="Arial"/>
        </w:rPr>
        <w:t>Validate health, dashboard, API, license, and CSV processing.</w:t>
      </w:r>
    </w:p>
    <w:p>
      <w:r>
        <w:br w:type="page"/>
      </w:r>
    </w:p>
    <w:p>
      <w:pPr>
        <w:pStyle w:val="Heading1"/>
      </w:pPr>
      <w:r>
        <w:t>23. Final checklist</w:t>
      </w:r>
    </w:p>
    <w:p>
      <w:pPr>
        <w:pStyle w:val="ListBullet"/>
        <w:spacing w:after="40"/>
      </w:pPr>
      <w:r>
        <w:rPr>
          <w:rFonts w:ascii="Arial" w:hAnsi="Arial"/>
        </w:rPr>
        <w:t>☐ The ZIP checksum matches.</w:t>
      </w:r>
    </w:p>
    <w:p>
      <w:pPr>
        <w:pStyle w:val="ListBullet"/>
        <w:spacing w:after="40"/>
      </w:pPr>
      <w:r>
        <w:rPr>
          <w:rFonts w:ascii="Arial" w:hAnsi="Arial"/>
        </w:rPr>
        <w:t>☐ Database\Install.sql finishes without errors.</w:t>
      </w:r>
    </w:p>
    <w:p>
      <w:pPr>
        <w:pStyle w:val="ListBullet"/>
        <w:spacing w:after="40"/>
      </w:pPr>
      <w:r>
        <w:rPr>
          <w:rFonts w:ascii="Arial" w:hAnsi="Arial"/>
        </w:rPr>
        <w:t>☐ Web and Worker use the same database and URL.</w:t>
      </w:r>
    </w:p>
    <w:p>
      <w:pPr>
        <w:pStyle w:val="ListBullet"/>
        <w:spacing w:after="40"/>
      </w:pPr>
      <w:r>
        <w:rPr>
          <w:rFonts w:ascii="Arial" w:hAnsi="Arial"/>
        </w:rPr>
        <w:t>☐ Services are Running and configured for automatic startup.</w:t>
      </w:r>
    </w:p>
    <w:p>
      <w:pPr>
        <w:pStyle w:val="ListBullet"/>
        <w:spacing w:after="40"/>
      </w:pPr>
      <w:r>
        <w:rPr>
          <w:rFonts w:ascii="Arial" w:hAnsi="Arial"/>
        </w:rPr>
        <w:t>☐ Health returns Healthy / Connected.</w:t>
      </w:r>
    </w:p>
    <w:p>
      <w:pPr>
        <w:pStyle w:val="ListBullet"/>
        <w:spacing w:after="40"/>
      </w:pPr>
      <w:r>
        <w:rPr>
          <w:rFonts w:ascii="Arial" w:hAnsi="Arial"/>
        </w:rPr>
        <w:t>☐ The displayed edition and capacity are correct.</w:t>
      </w:r>
    </w:p>
    <w:p>
      <w:pPr>
        <w:pStyle w:val="ListBullet"/>
        <w:spacing w:after="40"/>
      </w:pPr>
      <w:r>
        <w:rPr>
          <w:rFonts w:ascii="Arial" w:hAnsi="Arial"/>
        </w:rPr>
        <w:t>☐ A valid CSV ends in Processed with metrics.</w:t>
      </w:r>
    </w:p>
    <w:p>
      <w:pPr>
        <w:pStyle w:val="ListBullet"/>
        <w:spacing w:after="40"/>
      </w:pPr>
      <w:r>
        <w:rPr>
          <w:rFonts w:ascii="Arial" w:hAnsi="Arial"/>
        </w:rPr>
        <w:t>☐ A modified or incorrect license is rejected.</w:t>
      </w:r>
    </w:p>
    <w:p>
      <w:pPr>
        <w:pStyle w:val="ListBullet"/>
        <w:spacing w:after="40"/>
      </w:pPr>
      <w:r>
        <w:rPr>
          <w:rFonts w:ascii="Arial" w:hAnsi="Arial"/>
        </w:rPr>
        <w:t>☐ Filters, details, API, and export work.</w:t>
      </w:r>
    </w:p>
    <w:p>
      <w:pPr>
        <w:pStyle w:val="ListBullet"/>
        <w:spacing w:after="40"/>
      </w:pPr>
      <w:r>
        <w:rPr>
          <w:rFonts w:ascii="Arial" w:hAnsi="Arial"/>
        </w:rPr>
        <w:t>☐ Firewall and network access are restricted.</w:t>
      </w:r>
    </w:p>
    <w:tbl>
      <w:tblPr>
        <w:tblW w:type="auto" w:w="0"/>
        <w:jc w:val="center"/>
        <w:tblLayout w:type="fixed"/>
        <w:tblLook w:firstColumn="1" w:firstRow="1" w:lastColumn="0" w:lastRow="0" w:noHBand="0" w:noVBand="1" w:val="04A0"/>
      </w:tblPr>
      <w:tblGrid>
        <w:gridCol w:w="9576"/>
      </w:tblGrid>
      <w:tr>
        <w:tc>
          <w:tcPr>
            <w:tcW w:type="dxa" w:w="10080"/>
            <w:shd w:fill="EAF2FF"/>
            <w:tcMar>
              <w:top w:w="150" w:type="dxa"/>
              <w:start w:w="180" w:type="dxa"/>
              <w:bottom w:w="150" w:type="dxa"/>
              <w:end w:w="180" w:type="dxa"/>
            </w:tcMar>
          </w:tcPr>
          <w:p>
            <w:r>
              <w:rPr>
                <w:rFonts w:ascii="Arial" w:hAnsi="Arial"/>
                <w:b/>
                <w:color w:val="1267E5"/>
                <w:sz w:val="18"/>
              </w:rPr>
              <w:t>Legal documentation</w:t>
            </w:r>
          </w:p>
          <w:p>
            <w:pPr>
              <w:spacing w:after="0"/>
            </w:pPr>
            <w:r>
              <w:rPr>
                <w:rFonts w:ascii="Arial" w:hAnsi="Arial"/>
                <w:color w:val="24364B"/>
                <w:sz w:val="18"/>
              </w:rPr>
              <w:t>Product use is subject to the applicable EULA. THIRD-PARTY-NOTICES.txt contains third-party component notices. Legal drafts should be professionally reviewed before actual sales.</w:t>
            </w:r>
          </w:p>
        </w:tc>
      </w:tr>
    </w:tbl>
    <w:p>
      <w:pPr>
        <w:spacing w:after="0"/>
      </w:pPr>
    </w:p>
    <w:p>
      <w:pPr>
        <w:jc w:val="center"/>
      </w:pPr>
      <w:r>
        <w:rPr>
          <w:rFonts w:ascii="Arial" w:hAnsi="Arial"/>
          <w:i/>
          <w:color w:val="6B7280"/>
          <w:sz w:val="16"/>
        </w:rPr>
        <w:t>SqlWorkflowMonitor 1.1.0 | Federico Stimpfl | www.federicostimpfl.com.ar</w:t>
      </w:r>
    </w:p>
    <w:sectPr w:rsidR="00FC693F" w:rsidRPr="0006063C" w:rsidSect="00034616">
      <w:headerReference w:type="default" r:id="rId9"/>
      <w:footerReference w:type="default" r:id="rId10"/>
      <w:pgSz w:w="12240" w:h="15840"/>
      <w:pgMar w:top="936" w:right="1080" w:bottom="864"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6B7280"/>
        <w:sz w:val="15"/>
      </w:rPr>
      <w:t>SQLWORKFLOWMONITOR | INSTALLATION AND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64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267E5"/>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10233F"/>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1267E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0233F"/>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16"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SqlWorkflowMonitor - Installation and User Guide</dc:title>
  <dc:subject>Installation, licensing, and operation of SqlWorkflowMonitor 1.1.0</dc:subject>
  <dc:creator>Federico Stimpfl</dc:creator>
  <cp:keywords>SqlWorkflowMonitor, .NET, SQL Server, backend monitoring</cp:keywords>
  <dc:description>Updated for SqlWorkflowMonitor 1.1.0 commercial packaging.</dc:description>
  <cp:lastModifiedBy/>
  <cp:revision>1</cp:revision>
  <dcterms:created xsi:type="dcterms:W3CDTF">2013-12-23T23:15:00Z</dcterms:created>
  <dcterms:modified xsi:type="dcterms:W3CDTF">2013-12-23T23:15:00Z</dcterms:modified>
  <cp:category/>
</cp:coreProperties>
</file>