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E7802" w14:textId="77777777" w:rsidR="00AF085B" w:rsidRDefault="00000000">
      <w:pPr>
        <w:spacing w:before="560"/>
      </w:pPr>
      <w:r>
        <w:rPr>
          <w:b/>
          <w:color w:val="1267E5"/>
          <w:sz w:val="20"/>
        </w:rPr>
        <w:t>PRODUCT BRIEF | VERSION 1.1.0</w:t>
      </w:r>
    </w:p>
    <w:p w14:paraId="18BEB906" w14:textId="77777777" w:rsidR="00AF085B" w:rsidRDefault="00000000">
      <w:pPr>
        <w:pStyle w:val="Ttulo"/>
        <w:spacing w:before="200" w:after="160"/>
      </w:pPr>
      <w:r>
        <w:t>SqlWorkflowMonitor</w:t>
      </w:r>
    </w:p>
    <w:p w14:paraId="67CCDBEA" w14:textId="77777777" w:rsidR="00AF085B" w:rsidRDefault="00000000">
      <w:pPr>
        <w:spacing w:after="280"/>
      </w:pPr>
      <w:r>
        <w:rPr>
          <w:sz w:val="36"/>
        </w:rPr>
        <w:t>Operational visibility for backend processes that should never fail silently.</w:t>
      </w:r>
    </w:p>
    <w:tbl>
      <w:tblPr>
        <w:tblW w:w="0" w:type="auto"/>
        <w:jc w:val="center"/>
        <w:tblLayout w:type="fixed"/>
        <w:tblLook w:val="04A0" w:firstRow="1" w:lastRow="0" w:firstColumn="1" w:lastColumn="0" w:noHBand="0" w:noVBand="1"/>
      </w:tblPr>
      <w:tblGrid>
        <w:gridCol w:w="10080"/>
      </w:tblGrid>
      <w:tr w:rsidR="00AF085B" w14:paraId="5ADBF8C5" w14:textId="77777777">
        <w:trPr>
          <w:jc w:val="center"/>
        </w:trPr>
        <w:tc>
          <w:tcPr>
            <w:tcW w:w="10080" w:type="dxa"/>
            <w:shd w:val="clear" w:color="auto" w:fill="EAF2FF"/>
            <w:tcMar>
              <w:top w:w="150" w:type="dxa"/>
              <w:left w:w="180" w:type="dxa"/>
              <w:bottom w:w="150" w:type="dxa"/>
              <w:right w:w="180" w:type="dxa"/>
            </w:tcMar>
          </w:tcPr>
          <w:p w14:paraId="391D9DD0" w14:textId="77777777" w:rsidR="00AF085B" w:rsidRDefault="00000000">
            <w:r>
              <w:rPr>
                <w:b/>
                <w:color w:val="1267E5"/>
                <w:sz w:val="18"/>
              </w:rPr>
              <w:t>Version</w:t>
            </w:r>
          </w:p>
          <w:p w14:paraId="403C0D6E" w14:textId="77777777" w:rsidR="00AF085B" w:rsidRDefault="00000000">
            <w:pPr>
              <w:spacing w:after="0"/>
            </w:pPr>
            <w:r>
              <w:rPr>
                <w:sz w:val="18"/>
              </w:rPr>
              <w:t>On-premises product | Windows x64 | Offline licensing</w:t>
            </w:r>
          </w:p>
        </w:tc>
      </w:tr>
    </w:tbl>
    <w:p w14:paraId="43E3862B" w14:textId="77777777" w:rsidR="00AF085B" w:rsidRDefault="00AF085B">
      <w:pPr>
        <w:spacing w:after="0"/>
      </w:pPr>
    </w:p>
    <w:p w14:paraId="0A9EE8FB" w14:textId="77777777" w:rsidR="00AF085B" w:rsidRDefault="00000000">
      <w:r>
        <w:rPr>
          <w:noProof/>
        </w:rPr>
        <w:drawing>
          <wp:inline distT="0" distB="0" distL="0" distR="0" wp14:anchorId="21038E73" wp14:editId="207C9C42">
            <wp:extent cx="5989320" cy="3514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989320" cy="3514640"/>
                    </a:xfrm>
                    <a:prstGeom prst="rect">
                      <a:avLst/>
                    </a:prstGeom>
                  </pic:spPr>
                </pic:pic>
              </a:graphicData>
            </a:graphic>
          </wp:inline>
        </w:drawing>
      </w:r>
    </w:p>
    <w:p w14:paraId="0D5C91FE" w14:textId="77777777" w:rsidR="00AF085B" w:rsidRDefault="00000000">
      <w:pPr>
        <w:jc w:val="center"/>
      </w:pPr>
      <w:r>
        <w:rPr>
          <w:i/>
          <w:color w:val="6B7280"/>
          <w:sz w:val="16"/>
        </w:rPr>
        <w:t>Dashboard operativo de SqlWorkflowMonitor.</w:t>
      </w:r>
    </w:p>
    <w:p w14:paraId="33598894" w14:textId="77777777" w:rsidR="00AF085B" w:rsidRDefault="00AF085B"/>
    <w:p w14:paraId="0CD95E4D" w14:textId="77777777" w:rsidR="00AF085B" w:rsidRDefault="00000000">
      <w:pPr>
        <w:jc w:val="center"/>
      </w:pPr>
      <w:r>
        <w:rPr>
          <w:b/>
          <w:color w:val="10233F"/>
          <w:sz w:val="18"/>
        </w:rPr>
        <w:t>.NET 10  |  SQL Server  |  REST API  |  Windows Services  |  Offline licensing</w:t>
      </w:r>
    </w:p>
    <w:p w14:paraId="0A035CDC" w14:textId="77777777" w:rsidR="00AF085B" w:rsidRDefault="00000000">
      <w:r>
        <w:br w:type="page"/>
      </w:r>
    </w:p>
    <w:p w14:paraId="3E0E0FD5" w14:textId="77777777" w:rsidR="00AF085B" w:rsidRDefault="00000000">
      <w:pPr>
        <w:pStyle w:val="Ttulo1"/>
      </w:pPr>
      <w:r>
        <w:lastRenderedPageBreak/>
        <w:t>Executive overview</w:t>
      </w:r>
    </w:p>
    <w:p w14:paraId="3C8222CA" w14:textId="77777777" w:rsidR="00AF085B" w:rsidRDefault="00000000">
      <w:r>
        <w:t>SqlWorkflowMonitor is a .NET 10 and SQL Server application for recording, monitoring, and analyzing backend process executions. It centralizes information that is commonly scattered across logs, SQL queries, and manual checks: status, start, completion, duration, processed volume, and error details.</w:t>
      </w:r>
    </w:p>
    <w:tbl>
      <w:tblPr>
        <w:tblW w:w="0" w:type="auto"/>
        <w:jc w:val="center"/>
        <w:tblLayout w:type="fixed"/>
        <w:tblLook w:val="04A0" w:firstRow="1" w:lastRow="0" w:firstColumn="1" w:lastColumn="0" w:noHBand="0" w:noVBand="1"/>
      </w:tblPr>
      <w:tblGrid>
        <w:gridCol w:w="10080"/>
      </w:tblGrid>
      <w:tr w:rsidR="00AF085B" w14:paraId="078A7AB5" w14:textId="77777777">
        <w:trPr>
          <w:jc w:val="center"/>
        </w:trPr>
        <w:tc>
          <w:tcPr>
            <w:tcW w:w="10080" w:type="dxa"/>
            <w:shd w:val="clear" w:color="auto" w:fill="EAF2FF"/>
            <w:tcMar>
              <w:top w:w="150" w:type="dxa"/>
              <w:left w:w="180" w:type="dxa"/>
              <w:bottom w:w="150" w:type="dxa"/>
              <w:right w:w="180" w:type="dxa"/>
            </w:tcMar>
          </w:tcPr>
          <w:p w14:paraId="677D7300" w14:textId="77777777" w:rsidR="00AF085B" w:rsidRDefault="00000000">
            <w:r>
              <w:rPr>
                <w:b/>
                <w:color w:val="1267E5"/>
                <w:sz w:val="18"/>
              </w:rPr>
              <w:t>Value proposition</w:t>
            </w:r>
          </w:p>
          <w:p w14:paraId="52B1BC1D" w14:textId="77777777" w:rsidR="00AF085B" w:rsidRDefault="00000000">
            <w:pPr>
              <w:spacing w:after="0"/>
            </w:pPr>
            <w:r>
              <w:rPr>
                <w:sz w:val="18"/>
              </w:rPr>
              <w:t>Enables support, development, and operations teams to detect overdue executions, diagnose incidents with evidence, and review operational history without relying on multiple sources.</w:t>
            </w:r>
          </w:p>
        </w:tc>
      </w:tr>
    </w:tbl>
    <w:p w14:paraId="669220E2" w14:textId="77777777" w:rsidR="00AF085B" w:rsidRDefault="00AF085B">
      <w:pPr>
        <w:spacing w:after="0"/>
      </w:pPr>
    </w:p>
    <w:p w14:paraId="0F04619C" w14:textId="77777777" w:rsidR="00AF085B" w:rsidRDefault="00000000">
      <w:pPr>
        <w:pStyle w:val="Ttulo1"/>
      </w:pPr>
      <w:r>
        <w:t>The problem it solves</w:t>
      </w:r>
    </w:p>
    <w:p w14:paraId="3621598A" w14:textId="77777777" w:rsidR="00AF085B" w:rsidRDefault="00000000">
      <w:pPr>
        <w:pStyle w:val="Listaconvietas"/>
        <w:spacing w:after="40"/>
      </w:pPr>
      <w:r>
        <w:t>Batch processes, imports, stored procedures, and Workers without a central view.</w:t>
      </w:r>
    </w:p>
    <w:p w14:paraId="3874E1FE" w14:textId="77777777" w:rsidR="00AF085B" w:rsidRDefault="00000000">
      <w:pPr>
        <w:pStyle w:val="Listaconvietas"/>
        <w:spacing w:after="40"/>
      </w:pPr>
      <w:r>
        <w:t>Incidents that require reviewing several logs or querying SQL Server directly.</w:t>
      </w:r>
    </w:p>
    <w:p w14:paraId="770EA576" w14:textId="77777777" w:rsidR="00AF085B" w:rsidRDefault="00000000">
      <w:pPr>
        <w:pStyle w:val="Listaconvietas"/>
        <w:spacing w:after="40"/>
      </w:pPr>
      <w:r>
        <w:t>Executions that remain Running and are discovered too late.</w:t>
      </w:r>
    </w:p>
    <w:p w14:paraId="07EE980E" w14:textId="77777777" w:rsidR="00AF085B" w:rsidRDefault="00000000">
      <w:pPr>
        <w:pStyle w:val="Listaconvietas"/>
        <w:spacing w:after="40"/>
      </w:pPr>
      <w:r>
        <w:t>Lack of evidence about duration, volume, and final outcome.</w:t>
      </w:r>
    </w:p>
    <w:p w14:paraId="674C120C" w14:textId="77777777" w:rsidR="00AF085B" w:rsidRDefault="00000000">
      <w:pPr>
        <w:pStyle w:val="Listaconvietas"/>
        <w:spacing w:after="40"/>
      </w:pPr>
      <w:r>
        <w:t>Dependence on individual technical knowledge to understand what happened.</w:t>
      </w:r>
    </w:p>
    <w:p w14:paraId="6C5D42B4" w14:textId="77777777" w:rsidR="00AF085B" w:rsidRDefault="00000000">
      <w:pPr>
        <w:pStyle w:val="Ttulo1"/>
      </w:pPr>
      <w:r>
        <w:t>Who it is for</w:t>
      </w:r>
    </w:p>
    <w:tbl>
      <w:tblPr>
        <w:tblW w:w="0" w:type="auto"/>
        <w:jc w:val="center"/>
        <w:tblLayout w:type="fixed"/>
        <w:tblLook w:val="04A0" w:firstRow="1" w:lastRow="0" w:firstColumn="1" w:lastColumn="0" w:noHBand="0" w:noVBand="1"/>
      </w:tblPr>
      <w:tblGrid>
        <w:gridCol w:w="2088"/>
        <w:gridCol w:w="2952"/>
        <w:gridCol w:w="4392"/>
      </w:tblGrid>
      <w:tr w:rsidR="00AF085B" w14:paraId="5223635E" w14:textId="77777777">
        <w:trPr>
          <w:tblHeader/>
          <w:jc w:val="center"/>
        </w:trPr>
        <w:tc>
          <w:tcPr>
            <w:tcW w:w="2088" w:type="dxa"/>
            <w:shd w:val="clear" w:color="auto" w:fill="D9E2F3"/>
            <w:tcMar>
              <w:top w:w="100" w:type="dxa"/>
              <w:left w:w="120" w:type="dxa"/>
              <w:bottom w:w="100" w:type="dxa"/>
              <w:right w:w="120" w:type="dxa"/>
            </w:tcMar>
            <w:vAlign w:val="center"/>
          </w:tcPr>
          <w:p w14:paraId="50D4E641" w14:textId="77777777" w:rsidR="00AF085B" w:rsidRDefault="00000000">
            <w:r>
              <w:rPr>
                <w:b/>
                <w:color w:val="10233F"/>
                <w:sz w:val="16"/>
              </w:rPr>
              <w:t>Audience</w:t>
            </w:r>
          </w:p>
        </w:tc>
        <w:tc>
          <w:tcPr>
            <w:tcW w:w="2952" w:type="dxa"/>
            <w:shd w:val="clear" w:color="auto" w:fill="D9E2F3"/>
            <w:tcMar>
              <w:top w:w="100" w:type="dxa"/>
              <w:left w:w="120" w:type="dxa"/>
              <w:bottom w:w="100" w:type="dxa"/>
              <w:right w:w="120" w:type="dxa"/>
            </w:tcMar>
            <w:vAlign w:val="center"/>
          </w:tcPr>
          <w:p w14:paraId="129236FD" w14:textId="77777777" w:rsidR="00AF085B" w:rsidRDefault="00000000">
            <w:r>
              <w:rPr>
                <w:b/>
                <w:color w:val="10233F"/>
                <w:sz w:val="16"/>
              </w:rPr>
              <w:t>Primary need</w:t>
            </w:r>
          </w:p>
        </w:tc>
        <w:tc>
          <w:tcPr>
            <w:tcW w:w="4392" w:type="dxa"/>
            <w:shd w:val="clear" w:color="auto" w:fill="D9E2F3"/>
            <w:tcMar>
              <w:top w:w="100" w:type="dxa"/>
              <w:left w:w="120" w:type="dxa"/>
              <w:bottom w:w="100" w:type="dxa"/>
              <w:right w:w="120" w:type="dxa"/>
            </w:tcMar>
            <w:vAlign w:val="center"/>
          </w:tcPr>
          <w:p w14:paraId="0E54468E" w14:textId="77777777" w:rsidR="00AF085B" w:rsidRDefault="00000000">
            <w:r>
              <w:rPr>
                <w:b/>
                <w:color w:val="10233F"/>
                <w:sz w:val="16"/>
              </w:rPr>
              <w:t>Value delivered</w:t>
            </w:r>
          </w:p>
        </w:tc>
      </w:tr>
      <w:tr w:rsidR="00AF085B" w14:paraId="20C294B8" w14:textId="77777777">
        <w:trPr>
          <w:jc w:val="center"/>
        </w:trPr>
        <w:tc>
          <w:tcPr>
            <w:tcW w:w="2088" w:type="dxa"/>
            <w:tcMar>
              <w:top w:w="100" w:type="dxa"/>
              <w:left w:w="120" w:type="dxa"/>
              <w:bottom w:w="100" w:type="dxa"/>
              <w:right w:w="120" w:type="dxa"/>
            </w:tcMar>
            <w:vAlign w:val="center"/>
          </w:tcPr>
          <w:p w14:paraId="32A7E650" w14:textId="77777777" w:rsidR="00AF085B" w:rsidRDefault="00000000">
            <w:r>
              <w:rPr>
                <w:sz w:val="16"/>
              </w:rPr>
              <w:t>L2/L3 support</w:t>
            </w:r>
          </w:p>
        </w:tc>
        <w:tc>
          <w:tcPr>
            <w:tcW w:w="2952" w:type="dxa"/>
            <w:tcMar>
              <w:top w:w="100" w:type="dxa"/>
              <w:left w:w="120" w:type="dxa"/>
              <w:bottom w:w="100" w:type="dxa"/>
              <w:right w:w="120" w:type="dxa"/>
            </w:tcMar>
            <w:vAlign w:val="center"/>
          </w:tcPr>
          <w:p w14:paraId="6E3B6ABE" w14:textId="77777777" w:rsidR="00AF085B" w:rsidRDefault="00000000">
            <w:r>
              <w:rPr>
                <w:sz w:val="16"/>
              </w:rPr>
              <w:t>Diagnose incidents</w:t>
            </w:r>
          </w:p>
        </w:tc>
        <w:tc>
          <w:tcPr>
            <w:tcW w:w="4392" w:type="dxa"/>
            <w:tcMar>
              <w:top w:w="100" w:type="dxa"/>
              <w:left w:w="120" w:type="dxa"/>
              <w:bottom w:w="100" w:type="dxa"/>
              <w:right w:w="120" w:type="dxa"/>
            </w:tcMar>
            <w:vAlign w:val="center"/>
          </w:tcPr>
          <w:p w14:paraId="787AF980" w14:textId="77777777" w:rsidR="00AF085B" w:rsidRDefault="00000000">
            <w:r>
              <w:rPr>
                <w:sz w:val="16"/>
              </w:rPr>
              <w:t>Status, duration, metrics, and errors in one view.</w:t>
            </w:r>
          </w:p>
        </w:tc>
      </w:tr>
      <w:tr w:rsidR="00AF085B" w14:paraId="353D6F0E" w14:textId="77777777">
        <w:trPr>
          <w:jc w:val="center"/>
        </w:trPr>
        <w:tc>
          <w:tcPr>
            <w:tcW w:w="2088" w:type="dxa"/>
            <w:tcMar>
              <w:top w:w="100" w:type="dxa"/>
              <w:left w:w="120" w:type="dxa"/>
              <w:bottom w:w="100" w:type="dxa"/>
              <w:right w:w="120" w:type="dxa"/>
            </w:tcMar>
            <w:vAlign w:val="center"/>
          </w:tcPr>
          <w:p w14:paraId="63D01C00" w14:textId="77777777" w:rsidR="00AF085B" w:rsidRDefault="00000000">
            <w:r>
              <w:rPr>
                <w:sz w:val="16"/>
              </w:rPr>
              <w:t>Backend teams</w:t>
            </w:r>
          </w:p>
        </w:tc>
        <w:tc>
          <w:tcPr>
            <w:tcW w:w="2952" w:type="dxa"/>
            <w:tcMar>
              <w:top w:w="100" w:type="dxa"/>
              <w:left w:w="120" w:type="dxa"/>
              <w:bottom w:w="100" w:type="dxa"/>
              <w:right w:w="120" w:type="dxa"/>
            </w:tcMar>
            <w:vAlign w:val="center"/>
          </w:tcPr>
          <w:p w14:paraId="41CF1EF1" w14:textId="77777777" w:rsidR="00AF085B" w:rsidRDefault="00000000">
            <w:r>
              <w:rPr>
                <w:sz w:val="16"/>
              </w:rPr>
              <w:t>Instrument processes</w:t>
            </w:r>
          </w:p>
        </w:tc>
        <w:tc>
          <w:tcPr>
            <w:tcW w:w="4392" w:type="dxa"/>
            <w:tcMar>
              <w:top w:w="100" w:type="dxa"/>
              <w:left w:w="120" w:type="dxa"/>
              <w:bottom w:w="100" w:type="dxa"/>
              <w:right w:w="120" w:type="dxa"/>
            </w:tcMar>
            <w:vAlign w:val="center"/>
          </w:tcPr>
          <w:p w14:paraId="41E2CF74" w14:textId="77777777" w:rsidR="00AF085B" w:rsidRDefault="00000000">
            <w:r>
              <w:rPr>
                <w:sz w:val="16"/>
              </w:rPr>
              <w:t>Simple API and consistent execution model.</w:t>
            </w:r>
          </w:p>
        </w:tc>
      </w:tr>
      <w:tr w:rsidR="00AF085B" w14:paraId="3AA3BDFC" w14:textId="77777777">
        <w:trPr>
          <w:jc w:val="center"/>
        </w:trPr>
        <w:tc>
          <w:tcPr>
            <w:tcW w:w="2088" w:type="dxa"/>
            <w:tcMar>
              <w:top w:w="100" w:type="dxa"/>
              <w:left w:w="120" w:type="dxa"/>
              <w:bottom w:w="100" w:type="dxa"/>
              <w:right w:w="120" w:type="dxa"/>
            </w:tcMar>
            <w:vAlign w:val="center"/>
          </w:tcPr>
          <w:p w14:paraId="10DA44BB" w14:textId="77777777" w:rsidR="00AF085B" w:rsidRDefault="00000000">
            <w:r>
              <w:rPr>
                <w:sz w:val="16"/>
              </w:rPr>
              <w:t>Operations</w:t>
            </w:r>
          </w:p>
        </w:tc>
        <w:tc>
          <w:tcPr>
            <w:tcW w:w="2952" w:type="dxa"/>
            <w:tcMar>
              <w:top w:w="100" w:type="dxa"/>
              <w:left w:w="120" w:type="dxa"/>
              <w:bottom w:w="100" w:type="dxa"/>
              <w:right w:w="120" w:type="dxa"/>
            </w:tcMar>
            <w:vAlign w:val="center"/>
          </w:tcPr>
          <w:p w14:paraId="208B68D7" w14:textId="77777777" w:rsidR="00AF085B" w:rsidRDefault="00000000">
            <w:r>
              <w:rPr>
                <w:sz w:val="16"/>
              </w:rPr>
              <w:t>Monitor activity</w:t>
            </w:r>
          </w:p>
        </w:tc>
        <w:tc>
          <w:tcPr>
            <w:tcW w:w="4392" w:type="dxa"/>
            <w:tcMar>
              <w:top w:w="100" w:type="dxa"/>
              <w:left w:w="120" w:type="dxa"/>
              <w:bottom w:w="100" w:type="dxa"/>
              <w:right w:w="120" w:type="dxa"/>
            </w:tcMar>
            <w:vAlign w:val="center"/>
          </w:tcPr>
          <w:p w14:paraId="1F41CEB5" w14:textId="77777777" w:rsidR="00AF085B" w:rsidRDefault="00000000">
            <w:r>
              <w:rPr>
                <w:sz w:val="16"/>
              </w:rPr>
              <w:t>Filterable history, overdue runs, and export.</w:t>
            </w:r>
          </w:p>
        </w:tc>
      </w:tr>
      <w:tr w:rsidR="00AF085B" w14:paraId="51F13E27" w14:textId="77777777">
        <w:trPr>
          <w:jc w:val="center"/>
        </w:trPr>
        <w:tc>
          <w:tcPr>
            <w:tcW w:w="2088" w:type="dxa"/>
            <w:tcMar>
              <w:top w:w="100" w:type="dxa"/>
              <w:left w:w="120" w:type="dxa"/>
              <w:bottom w:w="100" w:type="dxa"/>
              <w:right w:w="120" w:type="dxa"/>
            </w:tcMar>
            <w:vAlign w:val="center"/>
          </w:tcPr>
          <w:p w14:paraId="36BC4A48" w14:textId="77777777" w:rsidR="00AF085B" w:rsidRDefault="00000000">
            <w:r>
              <w:rPr>
                <w:sz w:val="16"/>
              </w:rPr>
              <w:t>Technical leads</w:t>
            </w:r>
          </w:p>
        </w:tc>
        <w:tc>
          <w:tcPr>
            <w:tcW w:w="2952" w:type="dxa"/>
            <w:tcMar>
              <w:top w:w="100" w:type="dxa"/>
              <w:left w:w="120" w:type="dxa"/>
              <w:bottom w:w="100" w:type="dxa"/>
              <w:right w:w="120" w:type="dxa"/>
            </w:tcMar>
            <w:vAlign w:val="center"/>
          </w:tcPr>
          <w:p w14:paraId="707A8EE9" w14:textId="77777777" w:rsidR="00AF085B" w:rsidRDefault="00000000">
            <w:r>
              <w:rPr>
                <w:sz w:val="16"/>
              </w:rPr>
              <w:t>Reduce blind spots</w:t>
            </w:r>
          </w:p>
        </w:tc>
        <w:tc>
          <w:tcPr>
            <w:tcW w:w="4392" w:type="dxa"/>
            <w:tcMar>
              <w:top w:w="100" w:type="dxa"/>
              <w:left w:w="120" w:type="dxa"/>
              <w:bottom w:w="100" w:type="dxa"/>
              <w:right w:w="120" w:type="dxa"/>
            </w:tcMar>
            <w:vAlign w:val="center"/>
          </w:tcPr>
          <w:p w14:paraId="28C969EC" w14:textId="77777777" w:rsidR="00AF085B" w:rsidRDefault="00000000">
            <w:r>
              <w:rPr>
                <w:sz w:val="16"/>
              </w:rPr>
              <w:t>Centralized and traceable operational evidence.</w:t>
            </w:r>
          </w:p>
        </w:tc>
      </w:tr>
    </w:tbl>
    <w:p w14:paraId="2EEA3995" w14:textId="77777777" w:rsidR="00AF085B" w:rsidRDefault="00AF085B">
      <w:pPr>
        <w:spacing w:after="0"/>
      </w:pPr>
    </w:p>
    <w:p w14:paraId="6AAFD3AE" w14:textId="77777777" w:rsidR="00AF085B" w:rsidRDefault="00000000">
      <w:r>
        <w:br w:type="page"/>
      </w:r>
    </w:p>
    <w:p w14:paraId="7658B025" w14:textId="77777777" w:rsidR="00AF085B" w:rsidRDefault="00000000">
      <w:pPr>
        <w:spacing w:before="2000"/>
      </w:pPr>
      <w:r>
        <w:rPr>
          <w:b/>
          <w:color w:val="1267E5"/>
          <w:sz w:val="20"/>
        </w:rPr>
        <w:lastRenderedPageBreak/>
        <w:t>PRODUCT</w:t>
      </w:r>
    </w:p>
    <w:p w14:paraId="436A77E6" w14:textId="77777777" w:rsidR="00AF085B" w:rsidRDefault="00000000">
      <w:pPr>
        <w:pStyle w:val="Ttulo1"/>
        <w:spacing w:before="80"/>
      </w:pPr>
      <w:r>
        <w:t>Current capabilities</w:t>
      </w:r>
    </w:p>
    <w:p w14:paraId="66868127" w14:textId="77777777" w:rsidR="00AF085B" w:rsidRDefault="00AF085B"/>
    <w:p w14:paraId="5115A3C3" w14:textId="77777777" w:rsidR="00AF085B" w:rsidRDefault="00000000">
      <w:pPr>
        <w:pStyle w:val="Listaconvietas"/>
        <w:spacing w:after="40"/>
      </w:pPr>
      <w:r>
        <w:t>Bilingual dashboard in English and Spanish.</w:t>
      </w:r>
    </w:p>
    <w:p w14:paraId="46384D93" w14:textId="77777777" w:rsidR="00AF085B" w:rsidRDefault="00000000">
      <w:pPr>
        <w:pStyle w:val="Listaconvietas"/>
        <w:spacing w:after="40"/>
      </w:pPr>
      <w:r>
        <w:t>Running, Succeeded, Failed, and Cancelled states.</w:t>
      </w:r>
    </w:p>
    <w:p w14:paraId="7904E328" w14:textId="77777777" w:rsidR="00AF085B" w:rsidRDefault="00000000">
      <w:pPr>
        <w:pStyle w:val="Listaconvietas"/>
        <w:spacing w:after="40"/>
      </w:pPr>
      <w:r>
        <w:t>Filters, sorting, pagination, and protected CSV export.</w:t>
      </w:r>
    </w:p>
    <w:p w14:paraId="4B8B5ECE" w14:textId="77777777" w:rsidR="00AF085B" w:rsidRDefault="00000000">
      <w:pPr>
        <w:pStyle w:val="Listaconvietas"/>
        <w:spacing w:after="40"/>
      </w:pPr>
      <w:r>
        <w:t>Details with duration, metrics, affected rows, and errors.</w:t>
      </w:r>
    </w:p>
    <w:p w14:paraId="3CC0E69E" w14:textId="77777777" w:rsidR="00AF085B" w:rsidRDefault="00000000">
      <w:pPr>
        <w:pStyle w:val="Listaconvietas"/>
        <w:spacing w:after="40"/>
      </w:pPr>
      <w:r>
        <w:t>Documented REST API, public health check, and API key for the Worker and integrations.</w:t>
      </w:r>
    </w:p>
    <w:p w14:paraId="4F5C16CF" w14:textId="77777777" w:rsidR="00AF085B" w:rsidRDefault="00000000">
      <w:pPr>
        <w:pStyle w:val="Listaconvietas"/>
        <w:spacing w:after="40"/>
      </w:pPr>
      <w:r>
        <w:t>Detection of overdue Running executions.</w:t>
      </w:r>
    </w:p>
    <w:p w14:paraId="1AE3F41E" w14:textId="77777777" w:rsidR="00AF085B" w:rsidRDefault="00000000">
      <w:pPr>
        <w:pStyle w:val="Listaconvietas"/>
        <w:spacing w:after="40"/>
      </w:pPr>
      <w:r>
        <w:t>Sample CSV Worker with safe movement to Processed or Error.</w:t>
      </w:r>
    </w:p>
    <w:p w14:paraId="3618F279" w14:textId="77777777" w:rsidR="00AF085B" w:rsidRDefault="00000000">
      <w:pPr>
        <w:pStyle w:val="Listaconvietas"/>
        <w:spacing w:after="40"/>
      </w:pPr>
      <w:r>
        <w:t>Consistency rules in .NET and SQL Server.</w:t>
      </w:r>
    </w:p>
    <w:p w14:paraId="761AE20C" w14:textId="77777777" w:rsidR="00AF085B" w:rsidRDefault="00000000">
      <w:pPr>
        <w:pStyle w:val="Listaconvietas"/>
        <w:spacing w:after="40"/>
      </w:pPr>
      <w:r>
        <w:t>Self-contained Windows x64 publishing.</w:t>
      </w:r>
    </w:p>
    <w:p w14:paraId="005EDB40" w14:textId="77777777" w:rsidR="00AF085B" w:rsidRDefault="00000000">
      <w:pPr>
        <w:pStyle w:val="Listaconvietas"/>
        <w:spacing w:after="40"/>
      </w:pPr>
      <w:r>
        <w:t>Web and Worker installable as Windows services.</w:t>
      </w:r>
    </w:p>
    <w:p w14:paraId="520DE783" w14:textId="77777777" w:rsidR="00AF085B" w:rsidRDefault="00000000">
      <w:pPr>
        <w:pStyle w:val="Listaconvietas"/>
        <w:spacing w:after="40"/>
      </w:pPr>
      <w:r>
        <w:t>Offline licensing signed with RSA-PSS/SHA-256.</w:t>
      </w:r>
    </w:p>
    <w:p w14:paraId="7A776E72" w14:textId="77777777" w:rsidR="00AF085B" w:rsidRDefault="00000000">
      <w:pPr>
        <w:jc w:val="center"/>
      </w:pPr>
      <w:r>
        <w:rPr>
          <w:noProof/>
        </w:rPr>
        <w:drawing>
          <wp:inline distT="0" distB="0" distL="0" distR="0" wp14:anchorId="67835894" wp14:editId="34EA2658">
            <wp:extent cx="5669280" cy="27542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5669280" cy="2754239"/>
                    </a:xfrm>
                    <a:prstGeom prst="rect">
                      <a:avLst/>
                    </a:prstGeom>
                  </pic:spPr>
                </pic:pic>
              </a:graphicData>
            </a:graphic>
          </wp:inline>
        </w:drawing>
      </w:r>
    </w:p>
    <w:p w14:paraId="52D4FC2E" w14:textId="77777777" w:rsidR="00AF085B" w:rsidRDefault="00000000">
      <w:pPr>
        <w:jc w:val="center"/>
      </w:pPr>
      <w:r>
        <w:rPr>
          <w:i/>
          <w:color w:val="6B7280"/>
          <w:sz w:val="16"/>
        </w:rPr>
        <w:t>Operational execution details with processing metrics.</w:t>
      </w:r>
    </w:p>
    <w:p w14:paraId="4FDB58C9" w14:textId="77777777" w:rsidR="00AF085B" w:rsidRDefault="00000000">
      <w:pPr>
        <w:pStyle w:val="Ttulo1"/>
      </w:pPr>
      <w:r>
        <w:t>How it works</w:t>
      </w:r>
    </w:p>
    <w:p w14:paraId="2CE9FC53" w14:textId="77777777" w:rsidR="00AF085B" w:rsidRDefault="00000000">
      <w:pPr>
        <w:spacing w:after="60"/>
        <w:ind w:left="29" w:hanging="29"/>
      </w:pPr>
      <w:r>
        <w:rPr>
          <w:b/>
          <w:color w:val="10233F"/>
        </w:rPr>
        <w:t xml:space="preserve">1.  </w:t>
      </w:r>
      <w:r>
        <w:t>A Worker or integration tells the API that a process started.</w:t>
      </w:r>
    </w:p>
    <w:p w14:paraId="2781C5CF" w14:textId="77777777" w:rsidR="00AF085B" w:rsidRDefault="00000000">
      <w:pPr>
        <w:spacing w:after="60"/>
        <w:ind w:left="29" w:hanging="29"/>
      </w:pPr>
      <w:r>
        <w:rPr>
          <w:b/>
          <w:color w:val="10233F"/>
        </w:rPr>
        <w:t xml:space="preserve">2.  </w:t>
      </w:r>
      <w:r>
        <w:t>SqlWorkflowMonitor records the execution as Running.</w:t>
      </w:r>
    </w:p>
    <w:p w14:paraId="388E5EE1" w14:textId="77777777" w:rsidR="00AF085B" w:rsidRDefault="00000000">
      <w:pPr>
        <w:spacing w:after="60"/>
        <w:ind w:left="29" w:hanging="29"/>
      </w:pPr>
      <w:r>
        <w:rPr>
          <w:b/>
          <w:color w:val="10233F"/>
        </w:rPr>
        <w:t xml:space="preserve">3.  </w:t>
      </w:r>
      <w:r>
        <w:t>The process performs its work and gathers metrics.</w:t>
      </w:r>
    </w:p>
    <w:p w14:paraId="48DABEEC" w14:textId="77777777" w:rsidR="00AF085B" w:rsidRDefault="00000000">
      <w:pPr>
        <w:spacing w:after="60"/>
        <w:ind w:left="29" w:hanging="29"/>
      </w:pPr>
      <w:r>
        <w:rPr>
          <w:b/>
          <w:color w:val="10233F"/>
        </w:rPr>
        <w:t xml:space="preserve">4.  </w:t>
      </w:r>
      <w:r>
        <w:t>The integration reports Succeeded, Failed, or Cancelled.</w:t>
      </w:r>
    </w:p>
    <w:p w14:paraId="0ADB2DC4" w14:textId="77777777" w:rsidR="00AF085B" w:rsidRDefault="00000000">
      <w:pPr>
        <w:spacing w:after="60"/>
        <w:ind w:left="29" w:hanging="29"/>
      </w:pPr>
      <w:r>
        <w:rPr>
          <w:b/>
          <w:color w:val="10233F"/>
        </w:rPr>
        <w:t xml:space="preserve">5.  </w:t>
      </w:r>
      <w:r>
        <w:t>The dashboard displays history, indicators, overdue runs, and details.</w:t>
      </w:r>
    </w:p>
    <w:p w14:paraId="15777D5D" w14:textId="77777777" w:rsidR="00AF085B" w:rsidRDefault="00000000">
      <w:r>
        <w:br w:type="page"/>
      </w:r>
    </w:p>
    <w:p w14:paraId="2411255D" w14:textId="77777777" w:rsidR="00AF085B" w:rsidRDefault="00000000">
      <w:pPr>
        <w:pStyle w:val="Ttulo1"/>
      </w:pPr>
      <w:r>
        <w:lastRenderedPageBreak/>
        <w:t>Editions</w:t>
      </w:r>
    </w:p>
    <w:p w14:paraId="40D32CB0" w14:textId="77777777" w:rsidR="00AF085B" w:rsidRDefault="00000000">
      <w:r>
        <w:t>All editions share the same code and binaries. The license file defines capacity, expiration, InstallationId, and enabled features.</w:t>
      </w:r>
    </w:p>
    <w:tbl>
      <w:tblPr>
        <w:tblW w:w="0" w:type="auto"/>
        <w:jc w:val="center"/>
        <w:tblLayout w:type="fixed"/>
        <w:tblLook w:val="04A0" w:firstRow="1" w:lastRow="0" w:firstColumn="1" w:lastColumn="0" w:noHBand="0" w:noVBand="1"/>
      </w:tblPr>
      <w:tblGrid>
        <w:gridCol w:w="1584"/>
        <w:gridCol w:w="3672"/>
        <w:gridCol w:w="4320"/>
      </w:tblGrid>
      <w:tr w:rsidR="00AF085B" w14:paraId="5C811F13" w14:textId="77777777">
        <w:trPr>
          <w:tblHeader/>
          <w:jc w:val="center"/>
        </w:trPr>
        <w:tc>
          <w:tcPr>
            <w:tcW w:w="1584" w:type="dxa"/>
            <w:shd w:val="clear" w:color="auto" w:fill="D9E2F3"/>
            <w:tcMar>
              <w:top w:w="100" w:type="dxa"/>
              <w:left w:w="120" w:type="dxa"/>
              <w:bottom w:w="100" w:type="dxa"/>
              <w:right w:w="120" w:type="dxa"/>
            </w:tcMar>
            <w:vAlign w:val="center"/>
          </w:tcPr>
          <w:p w14:paraId="006635DB" w14:textId="77777777" w:rsidR="00AF085B" w:rsidRDefault="00000000">
            <w:r>
              <w:rPr>
                <w:b/>
                <w:color w:val="10233F"/>
                <w:sz w:val="16"/>
              </w:rPr>
              <w:t>Edition</w:t>
            </w:r>
          </w:p>
        </w:tc>
        <w:tc>
          <w:tcPr>
            <w:tcW w:w="3672" w:type="dxa"/>
            <w:shd w:val="clear" w:color="auto" w:fill="D9E2F3"/>
            <w:tcMar>
              <w:top w:w="100" w:type="dxa"/>
              <w:left w:w="120" w:type="dxa"/>
              <w:bottom w:w="100" w:type="dxa"/>
              <w:right w:w="120" w:type="dxa"/>
            </w:tcMar>
            <w:vAlign w:val="center"/>
          </w:tcPr>
          <w:p w14:paraId="6C2CC4D5" w14:textId="77777777" w:rsidR="00AF085B" w:rsidRDefault="00000000">
            <w:r>
              <w:rPr>
                <w:b/>
                <w:color w:val="10233F"/>
                <w:sz w:val="16"/>
              </w:rPr>
              <w:t>Capacity</w:t>
            </w:r>
          </w:p>
        </w:tc>
        <w:tc>
          <w:tcPr>
            <w:tcW w:w="4320" w:type="dxa"/>
            <w:shd w:val="clear" w:color="auto" w:fill="D9E2F3"/>
            <w:tcMar>
              <w:top w:w="100" w:type="dxa"/>
              <w:left w:w="120" w:type="dxa"/>
              <w:bottom w:w="100" w:type="dxa"/>
              <w:right w:w="120" w:type="dxa"/>
            </w:tcMar>
            <w:vAlign w:val="center"/>
          </w:tcPr>
          <w:p w14:paraId="0C881B04" w14:textId="77777777" w:rsidR="00AF085B" w:rsidRDefault="00000000">
            <w:r>
              <w:rPr>
                <w:b/>
                <w:color w:val="10233F"/>
                <w:sz w:val="16"/>
              </w:rPr>
              <w:t>Behavior</w:t>
            </w:r>
          </w:p>
        </w:tc>
      </w:tr>
      <w:tr w:rsidR="00AF085B" w14:paraId="731C337F" w14:textId="77777777">
        <w:trPr>
          <w:jc w:val="center"/>
        </w:trPr>
        <w:tc>
          <w:tcPr>
            <w:tcW w:w="1584" w:type="dxa"/>
            <w:tcMar>
              <w:top w:w="100" w:type="dxa"/>
              <w:left w:w="120" w:type="dxa"/>
              <w:bottom w:w="100" w:type="dxa"/>
              <w:right w:w="120" w:type="dxa"/>
            </w:tcMar>
            <w:vAlign w:val="center"/>
          </w:tcPr>
          <w:p w14:paraId="609205B3" w14:textId="77777777" w:rsidR="00AF085B" w:rsidRDefault="00000000">
            <w:r>
              <w:rPr>
                <w:sz w:val="16"/>
              </w:rPr>
              <w:t>Demo</w:t>
            </w:r>
          </w:p>
        </w:tc>
        <w:tc>
          <w:tcPr>
            <w:tcW w:w="3672" w:type="dxa"/>
            <w:tcMar>
              <w:top w:w="100" w:type="dxa"/>
              <w:left w:w="120" w:type="dxa"/>
              <w:bottom w:w="100" w:type="dxa"/>
              <w:right w:w="120" w:type="dxa"/>
            </w:tcMar>
            <w:vAlign w:val="center"/>
          </w:tcPr>
          <w:p w14:paraId="5CF19026" w14:textId="77777777" w:rsidR="00AF085B" w:rsidRDefault="00000000">
            <w:r>
              <w:rPr>
                <w:sz w:val="16"/>
              </w:rPr>
              <w:t>30 days, 3 processes, 1 Worker, 1 installation</w:t>
            </w:r>
          </w:p>
        </w:tc>
        <w:tc>
          <w:tcPr>
            <w:tcW w:w="4320" w:type="dxa"/>
            <w:tcMar>
              <w:top w:w="100" w:type="dxa"/>
              <w:left w:w="120" w:type="dxa"/>
              <w:bottom w:w="100" w:type="dxa"/>
              <w:right w:w="120" w:type="dxa"/>
            </w:tcMar>
            <w:vAlign w:val="center"/>
          </w:tcPr>
          <w:p w14:paraId="3A33DFC4" w14:textId="77777777" w:rsidR="00AF085B" w:rsidRDefault="00000000">
            <w:r>
              <w:rPr>
                <w:sz w:val="16"/>
              </w:rPr>
              <w:t>Read-only mode after expiration.</w:t>
            </w:r>
          </w:p>
        </w:tc>
      </w:tr>
      <w:tr w:rsidR="00AF085B" w14:paraId="11C9D8C4" w14:textId="77777777">
        <w:trPr>
          <w:jc w:val="center"/>
        </w:trPr>
        <w:tc>
          <w:tcPr>
            <w:tcW w:w="1584" w:type="dxa"/>
            <w:tcMar>
              <w:top w:w="100" w:type="dxa"/>
              <w:left w:w="120" w:type="dxa"/>
              <w:bottom w:w="100" w:type="dxa"/>
              <w:right w:w="120" w:type="dxa"/>
            </w:tcMar>
            <w:vAlign w:val="center"/>
          </w:tcPr>
          <w:p w14:paraId="1BF0926A" w14:textId="77777777" w:rsidR="00AF085B" w:rsidRDefault="00000000">
            <w:r>
              <w:rPr>
                <w:sz w:val="16"/>
              </w:rPr>
              <w:t>Professional</w:t>
            </w:r>
          </w:p>
        </w:tc>
        <w:tc>
          <w:tcPr>
            <w:tcW w:w="3672" w:type="dxa"/>
            <w:tcMar>
              <w:top w:w="100" w:type="dxa"/>
              <w:left w:w="120" w:type="dxa"/>
              <w:bottom w:w="100" w:type="dxa"/>
              <w:right w:w="120" w:type="dxa"/>
            </w:tcMar>
            <w:vAlign w:val="center"/>
          </w:tcPr>
          <w:p w14:paraId="772DA8F9" w14:textId="77777777" w:rsidR="00AF085B" w:rsidRDefault="00000000">
            <w:r>
              <w:rPr>
                <w:sz w:val="16"/>
              </w:rPr>
              <w:t>25 processes, 5 Workers, 1 production + 1 test</w:t>
            </w:r>
          </w:p>
        </w:tc>
        <w:tc>
          <w:tcPr>
            <w:tcW w:w="4320" w:type="dxa"/>
            <w:tcMar>
              <w:top w:w="100" w:type="dxa"/>
              <w:left w:w="120" w:type="dxa"/>
              <w:bottom w:w="100" w:type="dxa"/>
              <w:right w:w="120" w:type="dxa"/>
            </w:tcMar>
            <w:vAlign w:val="center"/>
          </w:tcPr>
          <w:p w14:paraId="2DB848B3" w14:textId="77777777" w:rsidR="00AF085B" w:rsidRDefault="00000000">
            <w:r>
              <w:rPr>
                <w:sz w:val="16"/>
              </w:rPr>
              <w:t>Annual license by installation and capacity.</w:t>
            </w:r>
          </w:p>
        </w:tc>
      </w:tr>
      <w:tr w:rsidR="00AF085B" w14:paraId="0E2C2922" w14:textId="77777777">
        <w:trPr>
          <w:jc w:val="center"/>
        </w:trPr>
        <w:tc>
          <w:tcPr>
            <w:tcW w:w="1584" w:type="dxa"/>
            <w:tcMar>
              <w:top w:w="100" w:type="dxa"/>
              <w:left w:w="120" w:type="dxa"/>
              <w:bottom w:w="100" w:type="dxa"/>
              <w:right w:w="120" w:type="dxa"/>
            </w:tcMar>
            <w:vAlign w:val="center"/>
          </w:tcPr>
          <w:p w14:paraId="078D9399" w14:textId="77777777" w:rsidR="00AF085B" w:rsidRDefault="00000000">
            <w:r>
              <w:rPr>
                <w:sz w:val="16"/>
              </w:rPr>
              <w:t>Enterprise</w:t>
            </w:r>
          </w:p>
        </w:tc>
        <w:tc>
          <w:tcPr>
            <w:tcW w:w="3672" w:type="dxa"/>
            <w:tcMar>
              <w:top w:w="100" w:type="dxa"/>
              <w:left w:w="120" w:type="dxa"/>
              <w:bottom w:w="100" w:type="dxa"/>
              <w:right w:w="120" w:type="dxa"/>
            </w:tcMar>
            <w:vAlign w:val="center"/>
          </w:tcPr>
          <w:p w14:paraId="5D64177E" w14:textId="77777777" w:rsidR="00AF085B" w:rsidRDefault="00000000">
            <w:r>
              <w:rPr>
                <w:sz w:val="16"/>
              </w:rPr>
              <w:t>Configurable capacity and installations</w:t>
            </w:r>
          </w:p>
        </w:tc>
        <w:tc>
          <w:tcPr>
            <w:tcW w:w="4320" w:type="dxa"/>
            <w:tcMar>
              <w:top w:w="100" w:type="dxa"/>
              <w:left w:w="120" w:type="dxa"/>
              <w:bottom w:w="100" w:type="dxa"/>
              <w:right w:w="120" w:type="dxa"/>
            </w:tcMar>
            <w:vAlign w:val="center"/>
          </w:tcPr>
          <w:p w14:paraId="63E61E7A" w14:textId="77777777" w:rsidR="00AF085B" w:rsidRDefault="00000000">
            <w:r>
              <w:rPr>
                <w:sz w:val="16"/>
              </w:rPr>
              <w:t>Agreed support, onboarding, and customization.</w:t>
            </w:r>
          </w:p>
        </w:tc>
      </w:tr>
    </w:tbl>
    <w:p w14:paraId="4F32A5AA" w14:textId="77777777" w:rsidR="00AF085B" w:rsidRDefault="00AF085B">
      <w:pPr>
        <w:spacing w:after="0"/>
      </w:pPr>
    </w:p>
    <w:tbl>
      <w:tblPr>
        <w:tblW w:w="0" w:type="auto"/>
        <w:jc w:val="center"/>
        <w:tblLayout w:type="fixed"/>
        <w:tblLook w:val="04A0" w:firstRow="1" w:lastRow="0" w:firstColumn="1" w:lastColumn="0" w:noHBand="0" w:noVBand="1"/>
      </w:tblPr>
      <w:tblGrid>
        <w:gridCol w:w="10080"/>
      </w:tblGrid>
      <w:tr w:rsidR="00AF085B" w14:paraId="3FA1A187" w14:textId="77777777">
        <w:trPr>
          <w:jc w:val="center"/>
        </w:trPr>
        <w:tc>
          <w:tcPr>
            <w:tcW w:w="10080" w:type="dxa"/>
            <w:shd w:val="clear" w:color="auto" w:fill="E8F5EE"/>
            <w:tcMar>
              <w:top w:w="150" w:type="dxa"/>
              <w:left w:w="180" w:type="dxa"/>
              <w:bottom w:w="150" w:type="dxa"/>
              <w:right w:w="180" w:type="dxa"/>
            </w:tcMar>
          </w:tcPr>
          <w:p w14:paraId="650A39F5" w14:textId="77777777" w:rsidR="00AF085B" w:rsidRDefault="00000000">
            <w:r>
              <w:rPr>
                <w:b/>
                <w:color w:val="1267E5"/>
                <w:sz w:val="18"/>
              </w:rPr>
              <w:t>Commercial model</w:t>
            </w:r>
          </w:p>
          <w:p w14:paraId="545E459E" w14:textId="77777777" w:rsidR="00AF085B" w:rsidRDefault="00000000">
            <w:pPr>
              <w:spacing w:after="0"/>
            </w:pPr>
            <w:r>
              <w:rPr>
                <w:sz w:val="18"/>
              </w:rPr>
              <w:t>Limited Demo + annual license by installation and capacity + customized Enterprise. There is no per-user or per-execution charge.</w:t>
            </w:r>
          </w:p>
        </w:tc>
      </w:tr>
    </w:tbl>
    <w:p w14:paraId="36BE9DCC" w14:textId="77777777" w:rsidR="00AF085B" w:rsidRDefault="00AF085B">
      <w:pPr>
        <w:spacing w:after="0"/>
      </w:pPr>
    </w:p>
    <w:p w14:paraId="49B86836" w14:textId="77777777" w:rsidR="00AF085B" w:rsidRDefault="00000000">
      <w:r>
        <w:br w:type="page"/>
      </w:r>
    </w:p>
    <w:p w14:paraId="4282B5EF" w14:textId="77777777" w:rsidR="00AF085B" w:rsidRDefault="00000000">
      <w:pPr>
        <w:spacing w:before="2000"/>
      </w:pPr>
      <w:r>
        <w:rPr>
          <w:b/>
          <w:color w:val="1267E5"/>
          <w:sz w:val="20"/>
        </w:rPr>
        <w:lastRenderedPageBreak/>
        <w:t>IMPLEMENTATION</w:t>
      </w:r>
    </w:p>
    <w:p w14:paraId="2B8A7541" w14:textId="77777777" w:rsidR="00AF085B" w:rsidRDefault="00000000">
      <w:pPr>
        <w:pStyle w:val="Ttulo1"/>
        <w:spacing w:before="80"/>
      </w:pPr>
      <w:r>
        <w:t>Distribution and operations</w:t>
      </w:r>
    </w:p>
    <w:p w14:paraId="79C119DF" w14:textId="77777777" w:rsidR="00AF085B" w:rsidRDefault="00AF085B"/>
    <w:tbl>
      <w:tblPr>
        <w:tblW w:w="0" w:type="auto"/>
        <w:jc w:val="center"/>
        <w:tblLayout w:type="fixed"/>
        <w:tblLook w:val="04A0" w:firstRow="1" w:lastRow="0" w:firstColumn="1" w:lastColumn="0" w:noHBand="0" w:noVBand="1"/>
      </w:tblPr>
      <w:tblGrid>
        <w:gridCol w:w="2448"/>
        <w:gridCol w:w="6984"/>
      </w:tblGrid>
      <w:tr w:rsidR="00AF085B" w14:paraId="68562997" w14:textId="77777777">
        <w:trPr>
          <w:tblHeader/>
          <w:jc w:val="center"/>
        </w:trPr>
        <w:tc>
          <w:tcPr>
            <w:tcW w:w="2448" w:type="dxa"/>
            <w:shd w:val="clear" w:color="auto" w:fill="D9E2F3"/>
            <w:tcMar>
              <w:top w:w="100" w:type="dxa"/>
              <w:left w:w="120" w:type="dxa"/>
              <w:bottom w:w="100" w:type="dxa"/>
              <w:right w:w="120" w:type="dxa"/>
            </w:tcMar>
            <w:vAlign w:val="center"/>
          </w:tcPr>
          <w:p w14:paraId="000A895C" w14:textId="77777777" w:rsidR="00AF085B" w:rsidRDefault="00000000">
            <w:r>
              <w:rPr>
                <w:b/>
                <w:color w:val="10233F"/>
                <w:sz w:val="17"/>
              </w:rPr>
              <w:t>Characteristic</w:t>
            </w:r>
          </w:p>
        </w:tc>
        <w:tc>
          <w:tcPr>
            <w:tcW w:w="6984" w:type="dxa"/>
            <w:shd w:val="clear" w:color="auto" w:fill="D9E2F3"/>
            <w:tcMar>
              <w:top w:w="100" w:type="dxa"/>
              <w:left w:w="120" w:type="dxa"/>
              <w:bottom w:w="100" w:type="dxa"/>
              <w:right w:w="120" w:type="dxa"/>
            </w:tcMar>
            <w:vAlign w:val="center"/>
          </w:tcPr>
          <w:p w14:paraId="2F443FF3" w14:textId="77777777" w:rsidR="00AF085B" w:rsidRDefault="00000000">
            <w:r>
              <w:rPr>
                <w:b/>
                <w:color w:val="10233F"/>
                <w:sz w:val="17"/>
              </w:rPr>
              <w:t>Detail</w:t>
            </w:r>
          </w:p>
        </w:tc>
      </w:tr>
      <w:tr w:rsidR="00AF085B" w14:paraId="270B0DFB" w14:textId="77777777">
        <w:trPr>
          <w:jc w:val="center"/>
        </w:trPr>
        <w:tc>
          <w:tcPr>
            <w:tcW w:w="2448" w:type="dxa"/>
            <w:tcMar>
              <w:top w:w="100" w:type="dxa"/>
              <w:left w:w="120" w:type="dxa"/>
              <w:bottom w:w="100" w:type="dxa"/>
              <w:right w:w="120" w:type="dxa"/>
            </w:tcMar>
            <w:vAlign w:val="center"/>
          </w:tcPr>
          <w:p w14:paraId="4C8664F0" w14:textId="77777777" w:rsidR="00AF085B" w:rsidRDefault="00000000">
            <w:r>
              <w:rPr>
                <w:sz w:val="17"/>
              </w:rPr>
              <w:t>Deployment model</w:t>
            </w:r>
          </w:p>
        </w:tc>
        <w:tc>
          <w:tcPr>
            <w:tcW w:w="6984" w:type="dxa"/>
            <w:tcMar>
              <w:top w:w="100" w:type="dxa"/>
              <w:left w:w="120" w:type="dxa"/>
              <w:bottom w:w="100" w:type="dxa"/>
              <w:right w:w="120" w:type="dxa"/>
            </w:tcMar>
            <w:vAlign w:val="center"/>
          </w:tcPr>
          <w:p w14:paraId="5ADB3848" w14:textId="77777777" w:rsidR="00AF085B" w:rsidRDefault="00000000">
            <w:r>
              <w:rPr>
                <w:sz w:val="17"/>
              </w:rPr>
              <w:t>On-premises, Windows x64.</w:t>
            </w:r>
          </w:p>
        </w:tc>
      </w:tr>
      <w:tr w:rsidR="00AF085B" w14:paraId="6CFB9051" w14:textId="77777777">
        <w:trPr>
          <w:jc w:val="center"/>
        </w:trPr>
        <w:tc>
          <w:tcPr>
            <w:tcW w:w="2448" w:type="dxa"/>
            <w:tcMar>
              <w:top w:w="100" w:type="dxa"/>
              <w:left w:w="120" w:type="dxa"/>
              <w:bottom w:w="100" w:type="dxa"/>
              <w:right w:w="120" w:type="dxa"/>
            </w:tcMar>
            <w:vAlign w:val="center"/>
          </w:tcPr>
          <w:p w14:paraId="6E241845" w14:textId="77777777" w:rsidR="00AF085B" w:rsidRDefault="00000000">
            <w:r>
              <w:rPr>
                <w:sz w:val="17"/>
              </w:rPr>
              <w:t>Runtime</w:t>
            </w:r>
          </w:p>
        </w:tc>
        <w:tc>
          <w:tcPr>
            <w:tcW w:w="6984" w:type="dxa"/>
            <w:tcMar>
              <w:top w:w="100" w:type="dxa"/>
              <w:left w:w="120" w:type="dxa"/>
              <w:bottom w:w="100" w:type="dxa"/>
              <w:right w:w="120" w:type="dxa"/>
            </w:tcMar>
            <w:vAlign w:val="center"/>
          </w:tcPr>
          <w:p w14:paraId="79C3F0D8" w14:textId="77777777" w:rsidR="00AF085B" w:rsidRDefault="00000000">
            <w:r>
              <w:rPr>
                <w:sz w:val="17"/>
              </w:rPr>
              <w:t>.NET 10 self-contained; no installed SDK or runtime required.</w:t>
            </w:r>
          </w:p>
        </w:tc>
      </w:tr>
      <w:tr w:rsidR="00AF085B" w14:paraId="5D29932E" w14:textId="77777777">
        <w:trPr>
          <w:jc w:val="center"/>
        </w:trPr>
        <w:tc>
          <w:tcPr>
            <w:tcW w:w="2448" w:type="dxa"/>
            <w:tcMar>
              <w:top w:w="100" w:type="dxa"/>
              <w:left w:w="120" w:type="dxa"/>
              <w:bottom w:w="100" w:type="dxa"/>
              <w:right w:w="120" w:type="dxa"/>
            </w:tcMar>
            <w:vAlign w:val="center"/>
          </w:tcPr>
          <w:p w14:paraId="09DC6B64" w14:textId="77777777" w:rsidR="00AF085B" w:rsidRDefault="00000000">
            <w:r>
              <w:rPr>
                <w:sz w:val="17"/>
              </w:rPr>
              <w:t>Database</w:t>
            </w:r>
          </w:p>
        </w:tc>
        <w:tc>
          <w:tcPr>
            <w:tcW w:w="6984" w:type="dxa"/>
            <w:tcMar>
              <w:top w:w="100" w:type="dxa"/>
              <w:left w:w="120" w:type="dxa"/>
              <w:bottom w:w="100" w:type="dxa"/>
              <w:right w:w="120" w:type="dxa"/>
            </w:tcMar>
            <w:vAlign w:val="center"/>
          </w:tcPr>
          <w:p w14:paraId="68108775" w14:textId="77777777" w:rsidR="00AF085B" w:rsidRDefault="00000000">
            <w:r>
              <w:rPr>
                <w:sz w:val="17"/>
              </w:rPr>
              <w:t>SQL Server; consolidated installation through Install.sql.</w:t>
            </w:r>
          </w:p>
        </w:tc>
      </w:tr>
      <w:tr w:rsidR="00AF085B" w14:paraId="467B54B7" w14:textId="77777777">
        <w:trPr>
          <w:jc w:val="center"/>
        </w:trPr>
        <w:tc>
          <w:tcPr>
            <w:tcW w:w="2448" w:type="dxa"/>
            <w:tcMar>
              <w:top w:w="100" w:type="dxa"/>
              <w:left w:w="120" w:type="dxa"/>
              <w:bottom w:w="100" w:type="dxa"/>
              <w:right w:w="120" w:type="dxa"/>
            </w:tcMar>
            <w:vAlign w:val="center"/>
          </w:tcPr>
          <w:p w14:paraId="1F003955" w14:textId="77777777" w:rsidR="00AF085B" w:rsidRDefault="00000000">
            <w:r>
              <w:rPr>
                <w:sz w:val="17"/>
              </w:rPr>
              <w:t>Services</w:t>
            </w:r>
          </w:p>
        </w:tc>
        <w:tc>
          <w:tcPr>
            <w:tcW w:w="6984" w:type="dxa"/>
            <w:tcMar>
              <w:top w:w="100" w:type="dxa"/>
              <w:left w:w="120" w:type="dxa"/>
              <w:bottom w:w="100" w:type="dxa"/>
              <w:right w:w="120" w:type="dxa"/>
            </w:tcMar>
            <w:vAlign w:val="center"/>
          </w:tcPr>
          <w:p w14:paraId="66A441C0" w14:textId="77777777" w:rsidR="00AF085B" w:rsidRDefault="00000000">
            <w:r>
              <w:rPr>
                <w:sz w:val="17"/>
              </w:rPr>
              <w:t>Web and Worker with automatic startup and failure recovery.</w:t>
            </w:r>
          </w:p>
        </w:tc>
      </w:tr>
      <w:tr w:rsidR="00AF085B" w14:paraId="285D43D8" w14:textId="77777777">
        <w:trPr>
          <w:jc w:val="center"/>
        </w:trPr>
        <w:tc>
          <w:tcPr>
            <w:tcW w:w="2448" w:type="dxa"/>
            <w:tcMar>
              <w:top w:w="100" w:type="dxa"/>
              <w:left w:w="120" w:type="dxa"/>
              <w:bottom w:w="100" w:type="dxa"/>
              <w:right w:w="120" w:type="dxa"/>
            </w:tcMar>
            <w:vAlign w:val="center"/>
          </w:tcPr>
          <w:p w14:paraId="046DD4E3" w14:textId="77777777" w:rsidR="00AF085B" w:rsidRDefault="00000000">
            <w:r>
              <w:rPr>
                <w:sz w:val="17"/>
              </w:rPr>
              <w:t>License</w:t>
            </w:r>
          </w:p>
        </w:tc>
        <w:tc>
          <w:tcPr>
            <w:tcW w:w="6984" w:type="dxa"/>
            <w:tcMar>
              <w:top w:w="100" w:type="dxa"/>
              <w:left w:w="120" w:type="dxa"/>
              <w:bottom w:w="100" w:type="dxa"/>
              <w:right w:w="120" w:type="dxa"/>
            </w:tcMar>
            <w:vAlign w:val="center"/>
          </w:tcPr>
          <w:p w14:paraId="048CCB3B" w14:textId="77777777" w:rsidR="00AF085B" w:rsidRDefault="00000000">
            <w:r>
              <w:rPr>
                <w:sz w:val="17"/>
              </w:rPr>
              <w:t>Offline signed file; renewal without reinstallation.</w:t>
            </w:r>
          </w:p>
        </w:tc>
      </w:tr>
      <w:tr w:rsidR="00AF085B" w14:paraId="4DA354BA" w14:textId="77777777">
        <w:trPr>
          <w:jc w:val="center"/>
        </w:trPr>
        <w:tc>
          <w:tcPr>
            <w:tcW w:w="2448" w:type="dxa"/>
            <w:tcMar>
              <w:top w:w="100" w:type="dxa"/>
              <w:left w:w="120" w:type="dxa"/>
              <w:bottom w:w="100" w:type="dxa"/>
              <w:right w:w="120" w:type="dxa"/>
            </w:tcMar>
            <w:vAlign w:val="center"/>
          </w:tcPr>
          <w:p w14:paraId="1D006BCB" w14:textId="77777777" w:rsidR="00AF085B" w:rsidRDefault="00000000">
            <w:r>
              <w:rPr>
                <w:sz w:val="17"/>
              </w:rPr>
              <w:t>Integrity</w:t>
            </w:r>
          </w:p>
        </w:tc>
        <w:tc>
          <w:tcPr>
            <w:tcW w:w="6984" w:type="dxa"/>
            <w:tcMar>
              <w:top w:w="100" w:type="dxa"/>
              <w:left w:w="120" w:type="dxa"/>
              <w:bottom w:w="100" w:type="dxa"/>
              <w:right w:w="120" w:type="dxa"/>
            </w:tcMar>
            <w:vAlign w:val="center"/>
          </w:tcPr>
          <w:p w14:paraId="343418AC" w14:textId="77777777" w:rsidR="00AF085B" w:rsidRDefault="00000000">
            <w:r>
              <w:rPr>
                <w:sz w:val="17"/>
              </w:rPr>
              <w:t>Versioned ZIP and SHA-256 checksum.</w:t>
            </w:r>
          </w:p>
        </w:tc>
      </w:tr>
      <w:tr w:rsidR="00AF085B" w14:paraId="0978C37E" w14:textId="77777777">
        <w:trPr>
          <w:jc w:val="center"/>
        </w:trPr>
        <w:tc>
          <w:tcPr>
            <w:tcW w:w="2448" w:type="dxa"/>
            <w:tcMar>
              <w:top w:w="100" w:type="dxa"/>
              <w:left w:w="120" w:type="dxa"/>
              <w:bottom w:w="100" w:type="dxa"/>
              <w:right w:w="120" w:type="dxa"/>
            </w:tcMar>
            <w:vAlign w:val="center"/>
          </w:tcPr>
          <w:p w14:paraId="0DF64009" w14:textId="77777777" w:rsidR="00AF085B" w:rsidRDefault="00000000">
            <w:r>
              <w:rPr>
                <w:sz w:val="17"/>
              </w:rPr>
              <w:t>Languages</w:t>
            </w:r>
          </w:p>
        </w:tc>
        <w:tc>
          <w:tcPr>
            <w:tcW w:w="6984" w:type="dxa"/>
            <w:tcMar>
              <w:top w:w="100" w:type="dxa"/>
              <w:left w:w="120" w:type="dxa"/>
              <w:bottom w:w="100" w:type="dxa"/>
              <w:right w:w="120" w:type="dxa"/>
            </w:tcMar>
            <w:vAlign w:val="center"/>
          </w:tcPr>
          <w:p w14:paraId="3B03524A" w14:textId="77777777" w:rsidR="00AF085B" w:rsidRDefault="00000000">
            <w:r>
              <w:rPr>
                <w:sz w:val="17"/>
              </w:rPr>
              <w:t>English and Spanish dashboard and documentation.</w:t>
            </w:r>
          </w:p>
        </w:tc>
      </w:tr>
    </w:tbl>
    <w:p w14:paraId="78F06DBF" w14:textId="77777777" w:rsidR="00AF085B" w:rsidRDefault="00AF085B">
      <w:pPr>
        <w:spacing w:after="0"/>
      </w:pPr>
    </w:p>
    <w:tbl>
      <w:tblPr>
        <w:tblW w:w="0" w:type="auto"/>
        <w:jc w:val="center"/>
        <w:tblLayout w:type="fixed"/>
        <w:tblLook w:val="04A0" w:firstRow="1" w:lastRow="0" w:firstColumn="1" w:lastColumn="0" w:noHBand="0" w:noVBand="1"/>
      </w:tblPr>
      <w:tblGrid>
        <w:gridCol w:w="10080"/>
      </w:tblGrid>
      <w:tr w:rsidR="00AF085B" w14:paraId="022D5CA7" w14:textId="77777777">
        <w:trPr>
          <w:jc w:val="center"/>
        </w:trPr>
        <w:tc>
          <w:tcPr>
            <w:tcW w:w="10080" w:type="dxa"/>
            <w:shd w:val="clear" w:color="auto" w:fill="FFF3CD"/>
            <w:tcMar>
              <w:top w:w="150" w:type="dxa"/>
              <w:left w:w="180" w:type="dxa"/>
              <w:bottom w:w="150" w:type="dxa"/>
              <w:right w:w="180" w:type="dxa"/>
            </w:tcMar>
          </w:tcPr>
          <w:p w14:paraId="3AAF2256" w14:textId="77777777" w:rsidR="00AF085B" w:rsidRDefault="00000000">
            <w:r>
              <w:rPr>
                <w:b/>
                <w:color w:val="10233F"/>
                <w:sz w:val="18"/>
              </w:rPr>
              <w:t>Current security profile</w:t>
            </w:r>
          </w:p>
          <w:p w14:paraId="6BC51116" w14:textId="77777777" w:rsidR="00AF085B" w:rsidRDefault="00000000">
            <w:pPr>
              <w:spacing w:after="0"/>
            </w:pPr>
            <w:r>
              <w:rPr>
                <w:sz w:val="18"/>
              </w:rPr>
              <w:t>Version 1.1.0 protects the dashboard with a local administrator account and operational API endpoints with an API key. The health endpoint remains public. Install on localhost or a controlled private network with firewall and access controls; do not expose it directly to the Internet.</w:t>
            </w:r>
          </w:p>
        </w:tc>
      </w:tr>
    </w:tbl>
    <w:p w14:paraId="21481643" w14:textId="77777777" w:rsidR="00AF085B" w:rsidRDefault="00AF085B">
      <w:pPr>
        <w:spacing w:after="0"/>
      </w:pPr>
    </w:p>
    <w:p w14:paraId="658AC688" w14:textId="77777777" w:rsidR="00AF085B" w:rsidRDefault="00000000">
      <w:pPr>
        <w:pStyle w:val="Ttulo1"/>
      </w:pPr>
      <w:r>
        <w:t>Use cases</w:t>
      </w:r>
    </w:p>
    <w:tbl>
      <w:tblPr>
        <w:tblW w:w="0" w:type="auto"/>
        <w:jc w:val="center"/>
        <w:tblLayout w:type="fixed"/>
        <w:tblLook w:val="04A0" w:firstRow="1" w:lastRow="0" w:firstColumn="1" w:lastColumn="0" w:noHBand="0" w:noVBand="1"/>
      </w:tblPr>
      <w:tblGrid>
        <w:gridCol w:w="2520"/>
        <w:gridCol w:w="6912"/>
      </w:tblGrid>
      <w:tr w:rsidR="00AF085B" w14:paraId="63F2F81C" w14:textId="77777777">
        <w:trPr>
          <w:tblHeader/>
          <w:jc w:val="center"/>
        </w:trPr>
        <w:tc>
          <w:tcPr>
            <w:tcW w:w="2520" w:type="dxa"/>
            <w:shd w:val="clear" w:color="auto" w:fill="D9E2F3"/>
            <w:tcMar>
              <w:top w:w="100" w:type="dxa"/>
              <w:left w:w="120" w:type="dxa"/>
              <w:bottom w:w="100" w:type="dxa"/>
              <w:right w:w="120" w:type="dxa"/>
            </w:tcMar>
            <w:vAlign w:val="center"/>
          </w:tcPr>
          <w:p w14:paraId="17EF371C" w14:textId="77777777" w:rsidR="00AF085B" w:rsidRDefault="00000000">
            <w:r>
              <w:rPr>
                <w:b/>
                <w:color w:val="10233F"/>
                <w:sz w:val="17"/>
              </w:rPr>
              <w:t>Use case</w:t>
            </w:r>
          </w:p>
        </w:tc>
        <w:tc>
          <w:tcPr>
            <w:tcW w:w="6912" w:type="dxa"/>
            <w:shd w:val="clear" w:color="auto" w:fill="D9E2F3"/>
            <w:tcMar>
              <w:top w:w="100" w:type="dxa"/>
              <w:left w:w="120" w:type="dxa"/>
              <w:bottom w:w="100" w:type="dxa"/>
              <w:right w:w="120" w:type="dxa"/>
            </w:tcMar>
            <w:vAlign w:val="center"/>
          </w:tcPr>
          <w:p w14:paraId="4F21EFA2" w14:textId="77777777" w:rsidR="00AF085B" w:rsidRDefault="00000000">
            <w:r>
              <w:rPr>
                <w:b/>
                <w:color w:val="10233F"/>
                <w:sz w:val="17"/>
              </w:rPr>
              <w:t>Example</w:t>
            </w:r>
          </w:p>
        </w:tc>
      </w:tr>
      <w:tr w:rsidR="00AF085B" w14:paraId="01C7C206" w14:textId="77777777">
        <w:trPr>
          <w:jc w:val="center"/>
        </w:trPr>
        <w:tc>
          <w:tcPr>
            <w:tcW w:w="2520" w:type="dxa"/>
            <w:tcMar>
              <w:top w:w="100" w:type="dxa"/>
              <w:left w:w="120" w:type="dxa"/>
              <w:bottom w:w="100" w:type="dxa"/>
              <w:right w:w="120" w:type="dxa"/>
            </w:tcMar>
            <w:vAlign w:val="center"/>
          </w:tcPr>
          <w:p w14:paraId="7B253757" w14:textId="77777777" w:rsidR="00AF085B" w:rsidRDefault="00000000">
            <w:r>
              <w:rPr>
                <w:sz w:val="17"/>
              </w:rPr>
              <w:t>Imports</w:t>
            </w:r>
          </w:p>
        </w:tc>
        <w:tc>
          <w:tcPr>
            <w:tcW w:w="6912" w:type="dxa"/>
            <w:tcMar>
              <w:top w:w="100" w:type="dxa"/>
              <w:left w:w="120" w:type="dxa"/>
              <w:bottom w:w="100" w:type="dxa"/>
              <w:right w:w="120" w:type="dxa"/>
            </w:tcMar>
            <w:vAlign w:val="center"/>
          </w:tcPr>
          <w:p w14:paraId="5DC8F765" w14:textId="77777777" w:rsidR="00AF085B" w:rsidRDefault="00000000">
            <w:r>
              <w:rPr>
                <w:sz w:val="17"/>
              </w:rPr>
              <w:t>Daily customer, order, or transaction loads from files.</w:t>
            </w:r>
          </w:p>
        </w:tc>
      </w:tr>
      <w:tr w:rsidR="00AF085B" w14:paraId="594A04A5" w14:textId="77777777">
        <w:trPr>
          <w:jc w:val="center"/>
        </w:trPr>
        <w:tc>
          <w:tcPr>
            <w:tcW w:w="2520" w:type="dxa"/>
            <w:tcMar>
              <w:top w:w="100" w:type="dxa"/>
              <w:left w:w="120" w:type="dxa"/>
              <w:bottom w:w="100" w:type="dxa"/>
              <w:right w:w="120" w:type="dxa"/>
            </w:tcMar>
            <w:vAlign w:val="center"/>
          </w:tcPr>
          <w:p w14:paraId="676B1BF8" w14:textId="77777777" w:rsidR="00AF085B" w:rsidRDefault="00000000">
            <w:r>
              <w:rPr>
                <w:sz w:val="17"/>
              </w:rPr>
              <w:t>Batch processes</w:t>
            </w:r>
          </w:p>
        </w:tc>
        <w:tc>
          <w:tcPr>
            <w:tcW w:w="6912" w:type="dxa"/>
            <w:tcMar>
              <w:top w:w="100" w:type="dxa"/>
              <w:left w:w="120" w:type="dxa"/>
              <w:bottom w:w="100" w:type="dxa"/>
              <w:right w:w="120" w:type="dxa"/>
            </w:tcMar>
            <w:vAlign w:val="center"/>
          </w:tcPr>
          <w:p w14:paraId="131CF75A" w14:textId="77777777" w:rsidR="00AF085B" w:rsidRDefault="00000000">
            <w:r>
              <w:rPr>
                <w:sz w:val="17"/>
              </w:rPr>
              <w:t>Closings, reconciliations, calculations, and reports.</w:t>
            </w:r>
          </w:p>
        </w:tc>
      </w:tr>
      <w:tr w:rsidR="00AF085B" w14:paraId="1AF7B867" w14:textId="77777777">
        <w:trPr>
          <w:jc w:val="center"/>
        </w:trPr>
        <w:tc>
          <w:tcPr>
            <w:tcW w:w="2520" w:type="dxa"/>
            <w:tcMar>
              <w:top w:w="100" w:type="dxa"/>
              <w:left w:w="120" w:type="dxa"/>
              <w:bottom w:w="100" w:type="dxa"/>
              <w:right w:w="120" w:type="dxa"/>
            </w:tcMar>
            <w:vAlign w:val="center"/>
          </w:tcPr>
          <w:p w14:paraId="07A11CB0" w14:textId="77777777" w:rsidR="00AF085B" w:rsidRDefault="00000000">
            <w:r>
              <w:rPr>
                <w:sz w:val="17"/>
              </w:rPr>
              <w:t>Stored procedures</w:t>
            </w:r>
          </w:p>
        </w:tc>
        <w:tc>
          <w:tcPr>
            <w:tcW w:w="6912" w:type="dxa"/>
            <w:tcMar>
              <w:top w:w="100" w:type="dxa"/>
              <w:left w:w="120" w:type="dxa"/>
              <w:bottom w:w="100" w:type="dxa"/>
              <w:right w:w="120" w:type="dxa"/>
            </w:tcMar>
            <w:vAlign w:val="center"/>
          </w:tcPr>
          <w:p w14:paraId="4AD6513F" w14:textId="77777777" w:rsidR="00AF085B" w:rsidRDefault="00000000">
            <w:r>
              <w:rPr>
                <w:sz w:val="17"/>
              </w:rPr>
              <w:t>Long-running procedures with operational outcomes.</w:t>
            </w:r>
          </w:p>
        </w:tc>
      </w:tr>
      <w:tr w:rsidR="00AF085B" w14:paraId="2889F40F" w14:textId="77777777">
        <w:trPr>
          <w:jc w:val="center"/>
        </w:trPr>
        <w:tc>
          <w:tcPr>
            <w:tcW w:w="2520" w:type="dxa"/>
            <w:tcMar>
              <w:top w:w="100" w:type="dxa"/>
              <w:left w:w="120" w:type="dxa"/>
              <w:bottom w:w="100" w:type="dxa"/>
              <w:right w:w="120" w:type="dxa"/>
            </w:tcMar>
            <w:vAlign w:val="center"/>
          </w:tcPr>
          <w:p w14:paraId="2C6A0B14" w14:textId="77777777" w:rsidR="00AF085B" w:rsidRDefault="00000000">
            <w:r>
              <w:rPr>
                <w:sz w:val="17"/>
              </w:rPr>
              <w:t>Integrations</w:t>
            </w:r>
          </w:p>
        </w:tc>
        <w:tc>
          <w:tcPr>
            <w:tcW w:w="6912" w:type="dxa"/>
            <w:tcMar>
              <w:top w:w="100" w:type="dxa"/>
              <w:left w:w="120" w:type="dxa"/>
              <w:bottom w:w="100" w:type="dxa"/>
              <w:right w:w="120" w:type="dxa"/>
            </w:tcMar>
            <w:vAlign w:val="center"/>
          </w:tcPr>
          <w:p w14:paraId="7B37D8ED" w14:textId="77777777" w:rsidR="00AF085B" w:rsidRDefault="00000000">
            <w:r>
              <w:rPr>
                <w:sz w:val="17"/>
              </w:rPr>
              <w:t>Synchronizations between APIs, internal systems, or vendors.</w:t>
            </w:r>
          </w:p>
        </w:tc>
      </w:tr>
      <w:tr w:rsidR="00AF085B" w14:paraId="00EE44B2" w14:textId="77777777">
        <w:trPr>
          <w:jc w:val="center"/>
        </w:trPr>
        <w:tc>
          <w:tcPr>
            <w:tcW w:w="2520" w:type="dxa"/>
            <w:tcMar>
              <w:top w:w="100" w:type="dxa"/>
              <w:left w:w="120" w:type="dxa"/>
              <w:bottom w:w="100" w:type="dxa"/>
              <w:right w:w="120" w:type="dxa"/>
            </w:tcMar>
            <w:vAlign w:val="center"/>
          </w:tcPr>
          <w:p w14:paraId="4F64B5F2" w14:textId="77777777" w:rsidR="00AF085B" w:rsidRDefault="00000000">
            <w:r>
              <w:rPr>
                <w:sz w:val="17"/>
              </w:rPr>
              <w:t>Scheduled Workers</w:t>
            </w:r>
          </w:p>
        </w:tc>
        <w:tc>
          <w:tcPr>
            <w:tcW w:w="6912" w:type="dxa"/>
            <w:tcMar>
              <w:top w:w="100" w:type="dxa"/>
              <w:left w:w="120" w:type="dxa"/>
              <w:bottom w:w="100" w:type="dxa"/>
              <w:right w:w="120" w:type="dxa"/>
            </w:tcMar>
            <w:vAlign w:val="center"/>
          </w:tcPr>
          <w:p w14:paraId="65A4DE3A" w14:textId="77777777" w:rsidR="00AF085B" w:rsidRDefault="00000000">
            <w:r>
              <w:rPr>
                <w:sz w:val="17"/>
              </w:rPr>
              <w:t>Services that process queues, files, or recurring tasks.</w:t>
            </w:r>
          </w:p>
        </w:tc>
      </w:tr>
    </w:tbl>
    <w:p w14:paraId="4FCE0A2C" w14:textId="77777777" w:rsidR="00AF085B" w:rsidRDefault="00AF085B">
      <w:pPr>
        <w:spacing w:after="0"/>
      </w:pPr>
    </w:p>
    <w:p w14:paraId="2E692BF4" w14:textId="77777777" w:rsidR="00AF085B" w:rsidRDefault="00000000">
      <w:pPr>
        <w:pStyle w:val="Ttulo1"/>
      </w:pPr>
      <w:r>
        <w:t>What makes it different</w:t>
      </w:r>
    </w:p>
    <w:p w14:paraId="13C7F926" w14:textId="77777777" w:rsidR="00AF085B" w:rsidRDefault="00000000">
      <w:r>
        <w:t>SqlWorkflowMonitor is not intended to replace a general-purpose observability platform. Its focus is to turn the lifecycle of a business or data process into a clear operational record that can be adopted incrementally.</w:t>
      </w:r>
    </w:p>
    <w:p w14:paraId="79ADE18C" w14:textId="77777777" w:rsidR="00AF085B" w:rsidRDefault="00000000">
      <w:pPr>
        <w:pStyle w:val="Listaconvietas"/>
        <w:spacing w:after="40"/>
      </w:pPr>
      <w:r>
        <w:t>Explicit start, finish, status, and metrics model.</w:t>
      </w:r>
    </w:p>
    <w:p w14:paraId="1EB2A149" w14:textId="77777777" w:rsidR="00AF085B" w:rsidRDefault="00000000">
      <w:pPr>
        <w:pStyle w:val="Listaconvietas"/>
        <w:spacing w:after="40"/>
      </w:pPr>
      <w:r>
        <w:t>Interface useful to both support and development teams.</w:t>
      </w:r>
    </w:p>
    <w:p w14:paraId="45E236E0" w14:textId="77777777" w:rsidR="00AF085B" w:rsidRDefault="00000000">
      <w:pPr>
        <w:pStyle w:val="Listaconvietas"/>
        <w:spacing w:after="40"/>
      </w:pPr>
      <w:r>
        <w:t>Direct fit with .NET and SQL Server.</w:t>
      </w:r>
    </w:p>
    <w:p w14:paraId="1260028C" w14:textId="77777777" w:rsidR="00AF085B" w:rsidRDefault="00000000">
      <w:pPr>
        <w:pStyle w:val="Listaconvietas"/>
        <w:spacing w:after="40"/>
      </w:pPr>
      <w:r>
        <w:t>Gradual adoption: begin with one real process.</w:t>
      </w:r>
    </w:p>
    <w:p w14:paraId="084E802B" w14:textId="77777777" w:rsidR="00AF085B" w:rsidRDefault="00000000">
      <w:pPr>
        <w:pStyle w:val="Listaconvietas"/>
        <w:spacing w:after="40"/>
      </w:pPr>
      <w:r>
        <w:t>Licensing suitable for private networks without Internet access.</w:t>
      </w:r>
    </w:p>
    <w:p w14:paraId="469793CA" w14:textId="77777777" w:rsidR="00AF085B" w:rsidRDefault="00000000">
      <w:r>
        <w:br w:type="page"/>
      </w:r>
    </w:p>
    <w:p w14:paraId="400D7FA1" w14:textId="315AE3D9" w:rsidR="00AF085B" w:rsidRDefault="00000000">
      <w:pPr>
        <w:spacing w:before="2000"/>
      </w:pPr>
      <w:r>
        <w:rPr>
          <w:b/>
          <w:color w:val="1267E5"/>
          <w:sz w:val="20"/>
        </w:rPr>
        <w:lastRenderedPageBreak/>
        <w:t>P</w:t>
      </w:r>
      <w:r w:rsidR="000F71D3" w:rsidRPr="000F71D3">
        <w:rPr>
          <w:b/>
          <w:color w:val="1267E5"/>
          <w:sz w:val="20"/>
        </w:rPr>
        <w:t>RODUCT SUMMARY</w:t>
      </w:r>
    </w:p>
    <w:p w14:paraId="60E615C2" w14:textId="276ADE23" w:rsidR="00AF085B" w:rsidRDefault="000F71D3">
      <w:pPr>
        <w:pStyle w:val="Ttulo1"/>
        <w:spacing w:before="80"/>
      </w:pPr>
      <w:r w:rsidRPr="000F71D3">
        <w:t>Product description</w:t>
      </w:r>
    </w:p>
    <w:p w14:paraId="75DD9E3F" w14:textId="77777777" w:rsidR="00AF085B" w:rsidRDefault="00AF085B"/>
    <w:p w14:paraId="520CD0DF" w14:textId="77777777" w:rsidR="00AF085B" w:rsidRDefault="00000000">
      <w:pPr>
        <w:pStyle w:val="Ttulo1"/>
      </w:pPr>
      <w:r>
        <w:t>Short description</w:t>
      </w:r>
    </w:p>
    <w:tbl>
      <w:tblPr>
        <w:tblW w:w="0" w:type="auto"/>
        <w:jc w:val="center"/>
        <w:tblLayout w:type="fixed"/>
        <w:tblLook w:val="04A0" w:firstRow="1" w:lastRow="0" w:firstColumn="1" w:lastColumn="0" w:noHBand="0" w:noVBand="1"/>
      </w:tblPr>
      <w:tblGrid>
        <w:gridCol w:w="10080"/>
      </w:tblGrid>
      <w:tr w:rsidR="00AF085B" w14:paraId="42AE6638" w14:textId="77777777">
        <w:trPr>
          <w:jc w:val="center"/>
        </w:trPr>
        <w:tc>
          <w:tcPr>
            <w:tcW w:w="10080" w:type="dxa"/>
            <w:shd w:val="clear" w:color="auto" w:fill="EAF2FF"/>
            <w:tcMar>
              <w:top w:w="150" w:type="dxa"/>
              <w:left w:w="180" w:type="dxa"/>
              <w:bottom w:w="150" w:type="dxa"/>
              <w:right w:w="180" w:type="dxa"/>
            </w:tcMar>
          </w:tcPr>
          <w:p w14:paraId="50B5C9C3" w14:textId="77777777" w:rsidR="00AF085B" w:rsidRDefault="00000000">
            <w:r>
              <w:rPr>
                <w:b/>
                <w:color w:val="1267E5"/>
                <w:sz w:val="18"/>
              </w:rPr>
              <w:t>Text</w:t>
            </w:r>
          </w:p>
          <w:p w14:paraId="690A1401" w14:textId="77777777" w:rsidR="00AF085B" w:rsidRDefault="00000000">
            <w:pPr>
              <w:spacing w:after="0"/>
            </w:pPr>
            <w:r>
              <w:rPr>
                <w:sz w:val="18"/>
              </w:rPr>
              <w:t>SqlWorkflowMonitor centralizes the status, duration, metrics, and errors of backend processes, batch jobs, and integrations. It helps teams detect overdue executions and diagnose incidents with evidence.</w:t>
            </w:r>
          </w:p>
        </w:tc>
      </w:tr>
    </w:tbl>
    <w:p w14:paraId="379455D9" w14:textId="77777777" w:rsidR="00AF085B" w:rsidRDefault="00AF085B">
      <w:pPr>
        <w:spacing w:after="0"/>
      </w:pPr>
    </w:p>
    <w:p w14:paraId="50AE4810" w14:textId="77777777" w:rsidR="00AF085B" w:rsidRDefault="00000000">
      <w:pPr>
        <w:pStyle w:val="Ttulo1"/>
      </w:pPr>
      <w:r>
        <w:t>Medium description</w:t>
      </w:r>
    </w:p>
    <w:p w14:paraId="490F6CAC" w14:textId="77777777" w:rsidR="00AF085B" w:rsidRDefault="00000000">
      <w:r>
        <w:t>SqlWorkflowMonitor is an on-premises .NET 10 and SQL Server application for monitoring batch processes, Workers, stored procedures, and integrations. It records execution start and completion, duration, outcome, metrics, and errors. It is distributed self-contained for Windows x64, runs as Windows services, and uses signed offline licensing.</w:t>
      </w:r>
    </w:p>
    <w:p w14:paraId="2D574CBC" w14:textId="77777777" w:rsidR="00AF085B" w:rsidRDefault="00000000">
      <w:pPr>
        <w:pStyle w:val="Ttulo1"/>
      </w:pPr>
      <w:r>
        <w:t>Availability status</w:t>
      </w:r>
    </w:p>
    <w:p w14:paraId="6087A978" w14:textId="77777777" w:rsidR="00097A03" w:rsidRDefault="00000000" w:rsidP="00097A03">
      <w:r>
        <w:t xml:space="preserve">Version 1.1.0 is technically closed and validated. It includes an installable package, offline licensing, minimum security, legal documentation, bilingual manuals, and a verified clean installation. </w:t>
      </w:r>
      <w:r w:rsidR="00097A03" w:rsidRPr="00097A03">
        <w:t>Version 1.1.0 is technically closed and validated for distribution under the applicable license terms.</w:t>
      </w:r>
    </w:p>
    <w:p w14:paraId="50672BAE" w14:textId="33305708" w:rsidR="00AF085B" w:rsidRDefault="00000000" w:rsidP="00097A03">
      <w:pPr>
        <w:ind w:left="1440" w:firstLine="720"/>
      </w:pPr>
      <w:r>
        <w:rPr>
          <w:i/>
          <w:color w:val="6B7280"/>
          <w:sz w:val="16"/>
        </w:rPr>
        <w:t>Federico Stimpfl | www.federicostimpfl.com.ar | SqlWorkflowMonitor 1.1.0</w:t>
      </w:r>
    </w:p>
    <w:sectPr w:rsidR="00AF085B" w:rsidSect="00034616">
      <w:headerReference w:type="default" r:id="rId10"/>
      <w:footerReference w:type="default" r:id="rId11"/>
      <w:pgSz w:w="12240" w:h="15840"/>
      <w:pgMar w:top="936" w:right="1080" w:bottom="864" w:left="108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2EB20" w14:textId="77777777" w:rsidR="0064237A" w:rsidRDefault="0064237A">
      <w:pPr>
        <w:spacing w:after="0" w:line="240" w:lineRule="auto"/>
      </w:pPr>
      <w:r>
        <w:separator/>
      </w:r>
    </w:p>
  </w:endnote>
  <w:endnote w:type="continuationSeparator" w:id="0">
    <w:p w14:paraId="07680723" w14:textId="77777777" w:rsidR="0064237A" w:rsidRDefault="006423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1B36C" w14:textId="77777777" w:rsidR="00AF085B" w:rsidRDefault="00000000">
    <w:pPr>
      <w:pStyle w:val="Piedepgina"/>
      <w:jc w:val="right"/>
    </w:pPr>
    <w:r>
      <w:rPr>
        <w:color w:val="6B7280"/>
        <w:sz w:val="16"/>
      </w:rPr>
      <w:t xml:space="preserve">Page </w:t>
    </w:r>
    <w:r>
      <w:rPr>
        <w:color w:val="6B7280"/>
        <w:sz w:val="16"/>
      </w:rPr>
      <w:fldChar w:fldCharType="begin"/>
    </w:r>
    <w:r>
      <w:rPr>
        <w:color w:val="6B7280"/>
        <w:sz w:val="16"/>
      </w:rPr>
      <w:instrText>PAGE</w:instrText>
    </w:r>
    <w:r w:rsidR="000F71D3">
      <w:rPr>
        <w:color w:val="6B7280"/>
        <w:sz w:val="16"/>
      </w:rPr>
      <w:fldChar w:fldCharType="separate"/>
    </w:r>
    <w:r w:rsidR="000F71D3">
      <w:rPr>
        <w:noProof/>
        <w:color w:val="6B7280"/>
        <w:sz w:val="16"/>
      </w:rPr>
      <w:t>1</w:t>
    </w:r>
    <w:r>
      <w:rPr>
        <w:color w:val="6B72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167CF" w14:textId="77777777" w:rsidR="0064237A" w:rsidRDefault="0064237A">
      <w:pPr>
        <w:spacing w:after="0" w:line="240" w:lineRule="auto"/>
      </w:pPr>
      <w:r>
        <w:separator/>
      </w:r>
    </w:p>
  </w:footnote>
  <w:footnote w:type="continuationSeparator" w:id="0">
    <w:p w14:paraId="0AA1A96C" w14:textId="77777777" w:rsidR="0064237A" w:rsidRDefault="006423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0A310" w14:textId="77777777" w:rsidR="00AF085B" w:rsidRDefault="00000000">
    <w:pPr>
      <w:pStyle w:val="Encabezado"/>
    </w:pPr>
    <w:r>
      <w:rPr>
        <w:b/>
        <w:color w:val="6B7280"/>
        <w:sz w:val="15"/>
      </w:rPr>
      <w:t>SQLWORKFLOWMONITOR | PRODUCT OVERVIEW AND SALES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15569710">
    <w:abstractNumId w:val="8"/>
  </w:num>
  <w:num w:numId="2" w16cid:durableId="1338383063">
    <w:abstractNumId w:val="6"/>
  </w:num>
  <w:num w:numId="3" w16cid:durableId="391737303">
    <w:abstractNumId w:val="5"/>
  </w:num>
  <w:num w:numId="4" w16cid:durableId="1486579784">
    <w:abstractNumId w:val="4"/>
  </w:num>
  <w:num w:numId="5" w16cid:durableId="1005596617">
    <w:abstractNumId w:val="7"/>
  </w:num>
  <w:num w:numId="6" w16cid:durableId="1166214700">
    <w:abstractNumId w:val="3"/>
  </w:num>
  <w:num w:numId="7" w16cid:durableId="77365034">
    <w:abstractNumId w:val="2"/>
  </w:num>
  <w:num w:numId="8" w16cid:durableId="1094782382">
    <w:abstractNumId w:val="1"/>
  </w:num>
  <w:num w:numId="9" w16cid:durableId="306663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A03"/>
    <w:rsid w:val="000F71D3"/>
    <w:rsid w:val="0015074B"/>
    <w:rsid w:val="0029639D"/>
    <w:rsid w:val="00326F90"/>
    <w:rsid w:val="0064237A"/>
    <w:rsid w:val="00AA1D8D"/>
    <w:rsid w:val="00AF085B"/>
    <w:rsid w:val="00B47730"/>
    <w:rsid w:val="00CB0664"/>
    <w:rsid w:val="00DB5A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A732DB"/>
  <w14:defaultImageDpi w14:val="300"/>
  <w15:docId w15:val="{B7715350-FBF7-44D1-8149-8DC079B5C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color w:val="24364B"/>
      <w:sz w:val="19"/>
    </w:rPr>
  </w:style>
  <w:style w:type="paragraph" w:styleId="Ttulo1">
    <w:name w:val="heading 1"/>
    <w:basedOn w:val="Normal"/>
    <w:next w:val="Normal"/>
    <w:link w:val="Ttulo1Car"/>
    <w:uiPriority w:val="9"/>
    <w:qFormat/>
    <w:rsid w:val="00FC693F"/>
    <w:pPr>
      <w:keepNext/>
      <w:keepLines/>
      <w:spacing w:before="160"/>
      <w:outlineLvl w:val="0"/>
    </w:pPr>
    <w:rPr>
      <w:rFonts w:asciiTheme="majorHAnsi" w:eastAsiaTheme="majorEastAsia" w:hAnsiTheme="majorHAnsi" w:cstheme="majorBidi"/>
      <w:b/>
      <w:bCs/>
      <w:color w:val="1267E5"/>
      <w:sz w:val="38"/>
      <w:szCs w:val="28"/>
    </w:rPr>
  </w:style>
  <w:style w:type="paragraph" w:styleId="Ttulo2">
    <w:name w:val="heading 2"/>
    <w:basedOn w:val="Normal"/>
    <w:next w:val="Normal"/>
    <w:link w:val="Ttulo2Car"/>
    <w:uiPriority w:val="9"/>
    <w:unhideWhenUsed/>
    <w:qFormat/>
    <w:rsid w:val="00FC693F"/>
    <w:pPr>
      <w:keepNext/>
      <w:keepLines/>
      <w:spacing w:before="160"/>
      <w:outlineLvl w:val="1"/>
    </w:pPr>
    <w:rPr>
      <w:rFonts w:asciiTheme="majorHAnsi" w:eastAsiaTheme="majorEastAsia" w:hAnsiTheme="majorHAnsi" w:cstheme="majorBidi"/>
      <w:b/>
      <w:bCs/>
      <w:color w:val="10233F"/>
      <w:sz w:val="26"/>
      <w:szCs w:val="26"/>
    </w:rPr>
  </w:style>
  <w:style w:type="paragraph" w:styleId="Ttulo3">
    <w:name w:val="heading 3"/>
    <w:basedOn w:val="Normal"/>
    <w:next w:val="Normal"/>
    <w:link w:val="Ttulo3Car"/>
    <w:uiPriority w:val="9"/>
    <w:unhideWhenUsed/>
    <w:qFormat/>
    <w:rsid w:val="00FC693F"/>
    <w:pPr>
      <w:keepNext/>
      <w:keepLines/>
      <w:spacing w:before="160"/>
      <w:outlineLvl w:val="2"/>
    </w:pPr>
    <w:rPr>
      <w:rFonts w:asciiTheme="majorHAnsi" w:eastAsiaTheme="majorEastAsia" w:hAnsiTheme="majorHAnsi" w:cstheme="majorBidi"/>
      <w:b/>
      <w:bCs/>
      <w:color w:val="1267E5"/>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before="160" w:line="240" w:lineRule="auto"/>
      <w:contextualSpacing/>
    </w:pPr>
    <w:rPr>
      <w:rFonts w:asciiTheme="majorHAnsi" w:eastAsiaTheme="majorEastAsia" w:hAnsiTheme="majorHAnsi" w:cstheme="majorBidi"/>
      <w:b/>
      <w:color w:val="10233F"/>
      <w:spacing w:val="5"/>
      <w:kern w:val="28"/>
      <w:sz w:val="6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16" w:right="216"/>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909</Words>
  <Characters>5003</Characters>
  <Application>Microsoft Office Word</Application>
  <DocSecurity>0</DocSecurity>
  <Lines>41</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SqlWorkflowMonitor - Product Overview and Sales Brief</vt:lpstr>
      <vt:lpstr/>
    </vt:vector>
  </TitlesOfParts>
  <Manager/>
  <Company/>
  <LinksUpToDate>false</LinksUpToDate>
  <CharactersWithSpaces>5901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SqlWorkflowMonitor - Product Overview and Sales Brief</dc:title>
  <dc:subject>Commercial and technical overview of SqlWorkflowMonitor 1.1.0</dc:subject>
  <dc:creator>Federico Stimpfl</dc:creator>
  <cp:keywords>SqlWorkflowMonitor, .NET, SQL Server, backend monitoring</cp:keywords>
  <dc:description>Updated for SqlWorkflowMonitor 1.1.0 commercial packaging.</dc:description>
  <cp:lastModifiedBy>Federico Stimpfl</cp:lastModifiedBy>
  <cp:revision>3</cp:revision>
  <dcterms:created xsi:type="dcterms:W3CDTF">2013-12-23T23:15:00Z</dcterms:created>
  <dcterms:modified xsi:type="dcterms:W3CDTF">2026-08-12T02:20:00Z</dcterms:modified>
  <cp:category/>
</cp:coreProperties>
</file>