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–&gt;</w:t>
      </w:r>
    </w:p>
    <w:p>
      <w:pPr>
        <w:pStyle w:val="Heading1"/>
      </w:pPr>
      <w:bookmarkStart w:id="20" w:name="chap:nlip-ita-market"/>
      <w:r>
        <w:t xml:space="preserve">1	</w:t>
      </w:r>
      <w:r>
        <w:rPr>
          <w:b/>
        </w:rPr>
        <w:t xml:space="preserve">Non Life Insurance Pricing</w:t>
      </w:r>
      <w:bookmarkEnd w:id="20"/>
    </w:p>
    <w:p>
      <w:pPr>
        <w:pStyle w:val="FirstParagraph"/>
      </w:pPr>
    </w:p>
    <w:p>
      <w:pPr>
        <w:pStyle w:val="BodyText"/>
      </w:pPr>
      <w:r>
        <w:t xml:space="preserve">In this chapter i’m going to provide an overview on how non life insurance works from an actuarial point of view with a specific focus on the pricing needs.</w:t>
      </w:r>
    </w:p>
    <w:p>
      <w:pPr>
        <w:pStyle w:val="Heading2"/>
      </w:pPr>
      <w:bookmarkStart w:id="21" w:name="what-a-non-life-insurance-is"/>
      <w:r>
        <w:t xml:space="preserve">1.1	What a Non Life Insurance is</w:t>
      </w:r>
      <w:bookmarkEnd w:id="21"/>
    </w:p>
    <w:p>
      <w:pPr>
        <w:pStyle w:val="FirstParagraph"/>
      </w:pPr>
      <w:r>
        <w:t xml:space="preserve">The italian Civil Code provide the following definition of insurance contract:</w:t>
      </w:r>
    </w:p>
    <w:p>
      <w:pPr>
        <w:pStyle w:val="BodyText"/>
      </w:pPr>
    </w:p>
    <w:p>
      <w:pPr>
        <w:pStyle w:val="BodyText"/>
      </w:pPr>
      <w:bookmarkStart w:id="22" w:name="def:unnamed-chunk-2"/>
      <w:r>
        <w:t xml:space="preserve">Definition 1.1:</w:t>
      </w:r>
      <w:r>
        <w:t xml:space="preserve"> </w:t>
      </w:r>
      <w:r>
        <w:t xml:space="preserve">(Insurance Contract, Art. 1882, Italian Civil Code)</w:t>
      </w:r>
      <w:r>
        <w:t xml:space="preserve"> </w:t>
      </w:r>
      <w:r>
        <w:t xml:space="preserve"> </w:t>
      </w:r>
      <w:bookmarkEnd w:id="22"/>
      <w:r>
        <w:t xml:space="preserve"> </w:t>
      </w:r>
      <w:r>
        <w:t xml:space="preserve">The insurance is the contract with which an insurer (in exchange of the payment of a certain premium) obliged himself:</w:t>
      </w:r>
    </w:p>
    <w:p>
      <w:pPr>
        <w:numPr>
          <w:ilvl w:val="0"/>
          <w:numId w:val="1001"/>
        </w:numPr>
      </w:pPr>
      <w:r>
        <w:t xml:space="preserve">to pay an indemnity to the insured equivalent to the damage caused by an accident;</w:t>
      </w:r>
    </w:p>
    <w:p>
      <w:pPr>
        <w:numPr>
          <w:ilvl w:val="0"/>
          <w:numId w:val="1001"/>
        </w:numPr>
      </w:pPr>
      <w:r>
        <w:t xml:space="preserve">or to pay an income or a capital if a life-related event occurs.</w:t>
      </w:r>
    </w:p>
    <w:p>
      <w:pPr>
        <w:pStyle w:val="FirstParagraph"/>
      </w:pPr>
      <w:r>
        <w:t xml:space="preserve">Lorem ipsum dolor sit amet, consectetur adipiscing elit. Vivamus id mauris interdum, malesuada ante eu, tempus lacus. Aliquam blandit tortor a velit ultricies, eget pharetra nulla egestas. Suspendisse pellentesque finibus est, vitae ullamcorper magna convallis ut. Nulla a lectus in ligula iaculis convallis. Pellentesque tortor mauris, tempor nec dictum et, facilisis sit amet dolor. Mauris nibh quam, molestie non ex quis, hendrerit dignissim nulla. Aliquam sit amet dui at diam vestibulum malesuada a id lacus. Phasellus viverra orci vitae sem pretium, eu consequat libero euismod.</w:t>
      </w:r>
    </w:p>
    <w:p>
      <w:pPr>
        <w:pStyle w:val="BodyText"/>
      </w:pPr>
      <w:r>
        <w:t xml:space="preserve">Cras suscipit aliquam consequat. Quisque sodales lacus ac erat malesuada, eu laoreet enim vestibulum. Sed id ante id ligula auctor ullamcorper. Sed luctus rutrum mollis. Vestibulum sed ultrices quam. Duis id orci ut enim elementum maximus id quis justo. Pellentesque rutrum ligula in aliquam rhoncus. Integer suscipit nisl at mi efficitur interdum. Aenean et orci elit.</w:t>
      </w:r>
    </w:p>
    <w:p>
      <w:pPr>
        <w:pStyle w:val="BodyText"/>
      </w:pPr>
      <w:r>
        <w:t xml:space="preserve">Nam ultricies est et iaculis tempus. Quisque leo lorem, sagittis et ligula a, blandit mattis velit. Phasellus pretium, orci et semper finibus, dui nulla tempor nisl, vel vehicula magna diam nec sem. Praesent finibus commodo enim non laoreet. Lorem ipsum dolor sit amet, consectetur adipiscing elit. Curabitur ut pellentesque purus. Proin hendrerit, odio vel sodales porta, ex lorem feugiat sem, non fringilla libero ex ac ligula. Quisque facilisis eros at suscipit rhoncus.</w:t>
      </w:r>
    </w:p>
    <w:p>
      <w:pPr>
        <w:pStyle w:val="Heading2"/>
      </w:pPr>
      <w:bookmarkStart w:id="23" w:name="non-life-insurance-pricing"/>
      <w:r>
        <w:t xml:space="preserve">1.2	Non Life insurance pricing</w:t>
      </w:r>
      <w:bookmarkEnd w:id="23"/>
    </w:p>
    <w:p>
      <w:pPr>
        <w:pStyle w:val="FirstParagraph"/>
      </w:pPr>
      <w:r>
        <w:t xml:space="preserve">Lorem ipsum dolor sit amet, consectetur adipiscing elit. Vivamus id mauris interdum, malesuada ante eu, tempus lacus. Aliquam blandit tortor a velit ultricies, eget pharetra nulla egestas. Suspendisse pellentesque finibus est, vitae ullamcorper magna convallis ut. Nulla a lectus in ligula iaculis convallis. Pellentesque tortor mauris, tempor nec dictum et, facilisis sit amet dolor. Mauris nibh quam, molestie non ex quis, hendrerit dignissim nulla. Aliquam sit amet dui at diam vestibulum malesuada a id lacus. Phasellus viverra orci vitae sem pretium, eu consequat libero euismod.</w:t>
      </w:r>
    </w:p>
    <w:p>
      <w:pPr>
        <w:pStyle w:val="BodyText"/>
      </w:pPr>
      <w:r>
        <w:t xml:space="preserve">Cras suscipit aliquam consequat. Quisque sodales lacus ac erat malesuada, eu laoreet enim vestibulum. Sed id ante id ligula auctor ullamcorper. Sed luctus rutrum mollis. Vestibulum sed ultrices quam. Duis id orci ut enim elementum maximus id quis justo. Pellentesque rutrum ligula in aliquam rhoncus. Integer suscipit nisl at mi efficitur interdum. Aenean et orci elit.</w:t>
      </w:r>
    </w:p>
    <w:p>
      <w:pPr>
        <w:pStyle w:val="BodyText"/>
      </w:pPr>
      <w:r>
        <w:t xml:space="preserve">Nam ultricies est et iaculis tempus. Quisque leo lorem, sagittis et ligula a, blandit mattis velit. Phasellus pretium, orci et semper finibus, dui nulla tempor nisl, vel vehicula magna diam nec sem. Praesent finibus commodo enim non laoreet. Lorem ipsum dolor sit amet, consectetur adipiscing elit. Curabitur ut pellentesque purus. Proin hendrerit, odio vel sodales porta, ex lorem feugiat sem, non fringilla libero ex ac ligula. Quisque facilisis eros at suscipit rhoncus.</w:t>
      </w:r>
    </w:p>
    <w:p>
      <w:pPr>
        <w:pStyle w:val="Heading2"/>
      </w:pPr>
      <w:bookmarkStart w:id="24" w:name="non-life-insurance-in-italy"/>
      <w:r>
        <w:t xml:space="preserve">1.3	Non Life insurance in Italy</w:t>
      </w:r>
      <w:bookmarkEnd w:id="24"/>
    </w:p>
    <w:p>
      <w:pPr>
        <w:pStyle w:val="FirstParagraph"/>
      </w:pPr>
      <w:r>
        <w:t xml:space="preserve">Lorem ipsum dolor sit amet, consectetur adipiscing elit. Vivamus id mauris interdum, malesuada ante eu, tempus lacus. Aliquam blandit tortor a velit ultricies, eget pharetra nulla egestas. Suspendisse pellentesque finibus est, vitae ullamcorper magna convallis ut. Nulla a lectus in ligula iaculis convallis. Pellentesque tortor mauris, tempor nec dictum et, facilisis sit amet dolor. Mauris nibh quam, molestie non ex quis, hendrerit dignissim nulla. Aliquam sit amet dui at diam vestibulum malesuada a id lacus. Phasellus viverra orci vitae sem pretium, eu consequat libero euismod.</w:t>
      </w:r>
    </w:p>
    <w:p>
      <w:pPr>
        <w:pStyle w:val="BodyText"/>
      </w:pPr>
      <w:r>
        <w:t xml:space="preserve">Cras suscipit aliquam consequat. Quisque sodales lacus ac erat malesuada, eu laoreet enim vestibulum. Sed id ante id ligula auctor ullamcorper. Sed luctus rutrum mollis. Vestibulum sed ultrices quam. Duis id orci ut enim elementum maximus id quis justo. Pellentesque rutrum ligula in aliquam rhoncus. Integer suscipit nisl at mi efficitur interdum. Aenean et orci elit.</w:t>
      </w:r>
    </w:p>
    <w:p>
      <w:pPr>
        <w:pStyle w:val="BodyText"/>
      </w:pPr>
      <w:r>
        <w:t xml:space="preserve">Nam ultricies est et iaculis tempus. Quisque leo lorem, sagittis et ligula a, blandit mattis velit. Phasellus pretium, orci et semper finibus, dui nulla tempor nisl, vel vehicula magna diam nec sem. Praesent finibus commodo enim non laoreet. Lorem ipsum dolor sit amet, consectetur adipiscing elit. Curabitur ut pellentesque purus. Proin hendrerit, odio vel sodales porta, ex lorem feugiat sem, non fringilla libero ex ac ligula. Quisque facilisis eros at suscipit rhoncus.</w:t>
      </w:r>
    </w:p>
    <w:p>
      <w:pPr>
        <w:pStyle w:val="Heading2"/>
      </w:pPr>
      <w:bookmarkStart w:id="25" w:name="the-actuary-role"/>
      <w:r>
        <w:t xml:space="preserve">1.4	The actuary role</w:t>
      </w:r>
      <w:bookmarkEnd w:id="25"/>
    </w:p>
    <w:p>
      <w:pPr>
        <w:pStyle w:val="FirstParagraph"/>
      </w:pPr>
      <w:r>
        <w:t xml:space="preserve">Lorem ipsum dolor sit amet, consectetur adipiscing elit. Vivamus id mauris interdum, malesuada ante eu, tempus lacus. Aliquam blandit tortor a velit ultricies, eget pharetra nulla egestas. Suspendisse pellentesque finibus est, vitae ullamcorper magna convallis ut. Nulla a lectus in ligula iaculis convallis. Pellentesque tortor mauris, tempor nec dictum et, facilisis sit amet dolor. Mauris nibh quam, molestie non ex quis, hendrerit dignissim nulla. Aliquam sit amet dui at diam vestibulum malesuada a id lacus. Phasellus viverra orci vitae sem pretium, eu consequat libero euismod.</w:t>
      </w:r>
    </w:p>
    <w:p>
      <w:pPr>
        <w:pStyle w:val="BodyText"/>
      </w:pPr>
      <w:r>
        <w:t xml:space="preserve">Cras suscipit aliquam consequat. Quisque sodales lacus ac erat malesuada, eu laoreet enim vestibulum. Sed id ante id ligula auctor ullamcorper. Sed luctus rutrum mollis. Vestibulum sed ultrices quam. Duis id orci ut enim elementum maximus id quis justo. Pellentesque rutrum ligula in aliquam rhoncus. Integer suscipit nisl at mi efficitur interdum. Aenean et orci elit.</w:t>
      </w:r>
    </w:p>
    <w:p>
      <w:pPr>
        <w:pStyle w:val="BodyText"/>
      </w:pPr>
      <w:r>
        <w:t xml:space="preserve">Nam ultricies est et iaculis tempus. Quisque leo lorem, sagittis et ligula a, blandit mattis velit. Phasellus pretium, orci et semper finibus, dui nulla tempor nisl, vel vehicula magna diam nec sem. Praesent finibus commodo enim non laoreet. Lorem ipsum dolor sit amet, consectetur adipiscing elit. Curabitur ut pellentesque purus. Proin hendrerit, odio vel sodales porta, ex lorem feugiat sem, non fringilla libero ex ac ligula. Quisque facilisis eros at suscipit rhoncus.</w:t>
      </w:r>
    </w:p>
    <w:p>
      <w:pPr>
        <w:pStyle w:val="BodyText"/>
      </w:pPr>
      <w:r>
        <w:t xml:space="preserve">Questa è una citazione</w:t>
      </w:r>
      <w:r>
        <w:t xml:space="preserve"> </w:t>
      </w:r>
      <w:r>
        <w:t xml:space="preserve">(Shea et al. 2014; Lottridge et al. 2012)</w:t>
      </w:r>
    </w:p>
    <w:bookmarkStart w:id="30" w:name="refs"/>
    <w:bookmarkStart w:id="27" w:name="ref-Lottridge2012"/>
    <w:p>
      <w:pPr>
        <w:pStyle w:val="Bibliography"/>
      </w:pPr>
      <w:r>
        <w:t xml:space="preserve">Lottridge, Danielle, Eli Marschner, Ellen Wang, Maria Romanovsky, and Clifford Nass. 2012. “Browser design impacts multitasking.” In</w:t>
      </w:r>
      <w:r>
        <w:t xml:space="preserve"> </w:t>
      </w:r>
      <w:r>
        <w:rPr>
          <w:i/>
        </w:rPr>
        <w:t xml:space="preserve">Proceedings of the Human Factors and Ergonomics Society 56th Annual Meeting</w:t>
      </w:r>
      <w:r>
        <w:t xml:space="preserve">.</w:t>
      </w:r>
      <w:r>
        <w:t xml:space="preserve"> </w:t>
      </w:r>
      <w:hyperlink r:id="rId26">
        <w:r>
          <w:rPr>
            <w:rStyle w:val="Hyperlink"/>
          </w:rPr>
          <w:t xml:space="preserve">https://doi.org/10.1177/1071181312561289</w:t>
        </w:r>
      </w:hyperlink>
      <w:r>
        <w:t xml:space="preserve">.</w:t>
      </w:r>
    </w:p>
    <w:bookmarkEnd w:id="27"/>
    <w:bookmarkStart w:id="29" w:name="ref-Shea2014"/>
    <w:p>
      <w:pPr>
        <w:pStyle w:val="Bibliography"/>
      </w:pPr>
      <w:r>
        <w:t xml:space="preserve">Shea, Nicholas, Annika Boldt, Dan Bang, Nick Yeung, Cecilia Heyes, and Chris D Frith. 2014. “Supra-personal cognitive control and metacognition.”</w:t>
      </w:r>
      <w:r>
        <w:t xml:space="preserve"> </w:t>
      </w:r>
      <w:r>
        <w:rPr>
          <w:i/>
        </w:rPr>
        <w:t xml:space="preserve">Trends in Cognitive Sciences</w:t>
      </w:r>
      <w:r>
        <w:t xml:space="preserve"> </w:t>
      </w:r>
      <w:r>
        <w:t xml:space="preserve">18 (4): 186–93.</w:t>
      </w:r>
      <w:r>
        <w:t xml:space="preserve"> </w:t>
      </w:r>
      <w:hyperlink r:id="rId28">
        <w:r>
          <w:rPr>
            <w:rStyle w:val="Hyperlink"/>
          </w:rPr>
          <w:t xml:space="preserve">https://doi.org/10.1016/j.tics.2014.01.006</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doi.org/10.1016/j.tics.2014.01.006" TargetMode="External" /><Relationship Type="http://schemas.openxmlformats.org/officeDocument/2006/relationships/hyperlink" Id="rId26" Target="https://doi.org/10.1177/1071181312561289" TargetMode="External" /></Relationships>
</file>

<file path=word/_rels/footnotes.xml.rels><?xml version="1.0" encoding="UTF-8"?>
<Relationships xmlns="http://schemas.openxmlformats.org/package/2006/relationships"><Relationship Type="http://schemas.openxmlformats.org/officeDocument/2006/relationships/hyperlink" Id="rId28" Target="https://doi.org/10.1016/j.tics.2014.01.006" TargetMode="External" /><Relationship Type="http://schemas.openxmlformats.org/officeDocument/2006/relationships/hyperlink" Id="rId26" Target="https://doi.org/10.1177/107118131256128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2020-11-03T14:32:48Z</dcterms:created>
  <dcterms:modified xsi:type="dcterms:W3CDTF">2020-11-03T14:32:48Z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bookdown">
    <vt:lpwstr/>
  </property>
  <property fmtid="{D5CDD505-2E9C-101B-9397-08002B2CF9AE}" pid="4" name="documentclass">
    <vt:lpwstr>book</vt:lpwstr>
  </property>
  <property fmtid="{D5CDD505-2E9C-101B-9397-08002B2CF9AE}" pid="5" name="output">
    <vt:lpwstr/>
  </property>
</Properties>
</file>