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Форма заявки для стартапа: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1. Наименование команды/организации 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2. Стадия готовности продукта * (Варианты ответа: Идея, Прототип, продукт)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3. Краткое описание продукта 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4. Кейсы использования продукта 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5. Польза продукта 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6. Организация Московского транспорта, интересная в первую очередь * (Варианты ответа: Московский метрополитен, мосгорстранс, ЦОДД, Организатор перевозок, Мостранспроект, АМПП)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7. Запрос к акселератору и видение пилотного проекта 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8. Требуется ли сертификация продукта * (Варианты ответа: “да, требуется сертификация и у нас она есть”, “да, требуется сертификация, но  у нас ее нет”, “нет, не требуется”)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9. ФИО контактного лица по заявке 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10. Должность контактного лица 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11. Контактный телефон 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12. Контактная почта 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13. Наименование юридического лица 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14. ИНН юридического лица 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15. Сколько человек в организации * (Варианты ответа: Менее 20, от 20 до 100, от 100 до 500, более 500)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16. Сайт 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17. Откуда узнали про акселератор 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18. Ссылка на презентацию *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