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two or more years of programming experience</w:t>
            </w:r>
          </w:p>
          <w:p>
            <w:pPr>
              <w:pStyle w:val="LOnormal"/>
              <w:widowControl w:val="false"/>
              <w:spacing w:lineRule="auto" w:line="240"/>
              <w:rPr>
                <w:color w:val="B7B7B7"/>
              </w:rPr>
            </w:pPr>
            <w:r>
              <w:rPr>
                <w:color w:val="B7B7B7"/>
              </w:rPr>
              <w:t>Low: less than two years of programming experience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LOnormal"/>
        <w:rPr>
          <w:color w:val="auto"/>
        </w:rPr>
      </w:pPr>
      <w:r>
        <w:rPr>
          <w:color w:val="auto"/>
        </w:rPr>
      </w:r>
    </w:p>
    <w:p>
      <w:pPr>
        <w:pStyle w:val="LOnormal"/>
        <w:rPr>
          <w:color w:val="auto"/>
        </w:rPr>
      </w:pPr>
      <w:r>
        <w:rPr>
          <w:color w:val="auto"/>
        </w:rPr>
        <w:t>// TODO, add the figure of the permutation of the group.</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color w:val="auto"/>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feature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6</Pages>
  <Words>1444</Words>
  <Characters>8018</Characters>
  <CharactersWithSpaces>9391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2024-12-18T14:00:32Z</dcterms:modified>
  <cp:revision>10</cp:revision>
  <dc:subject/>
  <dc:title/>
</cp:coreProperties>
</file>