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two or more years of programming experience</w:t>
            </w:r>
          </w:p>
          <w:p>
            <w:pPr>
              <w:pStyle w:val="LOnormal"/>
              <w:widowControl w:val="false"/>
              <w:spacing w:lineRule="auto" w:line="240"/>
              <w:rPr>
                <w:color w:val="B7B7B7"/>
              </w:rPr>
            </w:pPr>
            <w:r>
              <w:rPr>
                <w:color w:val="B7B7B7"/>
              </w:rPr>
              <w:t>Low: less than two years of programming experience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LOnormal"/>
        <w:rPr>
          <w:color w:val="auto"/>
        </w:rPr>
      </w:pPr>
      <w:r>
        <w:rPr>
          <w:color w:val="auto"/>
        </w:rPr>
      </w:r>
    </w:p>
    <w:p>
      <w:pPr>
        <w:pStyle w:val="LOnormal"/>
        <w:rPr>
          <w:color w:val="auto"/>
        </w:rPr>
      </w:pPr>
      <w:r>
        <w:rPr>
          <w:color w:val="auto"/>
        </w:rPr>
        <w:t>// TODO, add the figure of the permutation of the group.</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color w:val="auto"/>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w:t>
      </w:r>
      <w:r>
        <w:rPr/>
        <w:t>unction</w:t>
      </w:r>
      <w:r>
        <w:rPr/>
        <w:t xml:space="preserve">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TextBody"/>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TextBody"/>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TextBody"/>
        <w:rPr/>
      </w:pPr>
      <w:r>
        <w:rPr/>
        <w:t xml:space="preserve">After reading the instructions, the participant completes a short form to provide demographic information, including age, gender, and years of programming experience. </w:t>
      </w:r>
    </w:p>
    <w:p>
      <w:pPr>
        <w:pStyle w:val="TextBody"/>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TextBody"/>
        <w:rPr/>
      </w:pPr>
      <w:r>
        <w:rPr/>
        <w:t xml:space="preserve">The tool automatically records the time taken by the participant to make each </w:t>
      </w:r>
      <w:r>
        <w:rPr/>
        <w:t xml:space="preserve">correct </w:t>
      </w:r>
      <w:r>
        <w:rPr/>
        <w:t>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6</Pages>
  <Words>1722</Words>
  <Characters>9585</Characters>
  <CharactersWithSpaces>11233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2024-12-18T14:51:23Z</dcterms:modified>
  <cp:revision>12</cp:revision>
  <dc:subject/>
  <dc:title/>
</cp:coreProperties>
</file>