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intermidiate or advanced</w:t>
            </w:r>
          </w:p>
          <w:p>
            <w:pPr>
              <w:pStyle w:val="LOnormal"/>
              <w:widowControl w:val="false"/>
              <w:spacing w:lineRule="auto" w:line="240"/>
              <w:rPr>
                <w:color w:val="B7B7B7"/>
              </w:rPr>
            </w:pPr>
            <w:r>
              <w:rPr>
                <w:color w:val="B7B7B7"/>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color w:val="auto"/>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TextBody"/>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TextBody"/>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TextBody"/>
        <w:rPr/>
      </w:pPr>
      <w:r>
        <w:rPr/>
        <w:t xml:space="preserve">After reading the instructions, the participant completes a short form to provide demographic information, including age, gender, and years of programming experience. </w:t>
      </w:r>
    </w:p>
    <w:p>
      <w:pPr>
        <w:pStyle w:val="TextBody"/>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TextBody"/>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TextBody"/>
        <w:rPr>
          <w:color w:val="B7B7B7"/>
        </w:rPr>
      </w:pPr>
      <w:r>
        <w:rPr/>
        <w:t xml:space="preserve">This subsection presents a visual summary of the experimental results. To ensure clarity and insight, the data is organized into a series of box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 for the entire population, the visualizations not only highlight the influence of blocking variables (programming experience and age) but also provide a comprehensive view of the overall trends and outcomes of the experiment.</w:t>
      </w:r>
    </w:p>
    <w:p>
      <w:pPr>
        <w:pStyle w:val="TextBody"/>
        <w:rPr>
          <w:color w:val="B7B7B7"/>
        </w:rPr>
      </w:pPr>
      <w:r>
        <w:rPr/>
        <w:t>The figures are as follows:</w:t>
      </w:r>
    </w:p>
    <w:p>
      <w:pPr>
        <w:pStyle w:val="TextBody"/>
        <w:numPr>
          <w:ilvl w:val="0"/>
          <w:numId w:val="1"/>
        </w:numPr>
        <w:tabs>
          <w:tab w:val="clear" w:pos="720"/>
          <w:tab w:val="left" w:pos="0" w:leader="none"/>
        </w:tabs>
        <w:spacing w:before="0" w:after="0"/>
        <w:ind w:left="707" w:hanging="283"/>
        <w:rPr>
          <w:color w:val="B7B7B7"/>
        </w:rPr>
      </w:pP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TextBody"/>
        <w:numPr>
          <w:ilvl w:val="0"/>
          <w:numId w:val="1"/>
        </w:numPr>
        <w:tabs>
          <w:tab w:val="clear" w:pos="720"/>
          <w:tab w:val="left" w:pos="0" w:leader="none"/>
        </w:tabs>
        <w:spacing w:before="0" w:after="0"/>
        <w:ind w:left="707" w:hanging="283"/>
        <w:rPr>
          <w:color w:val="B7B7B7"/>
        </w:rPr>
      </w:pP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3</w:t>
      </w:r>
      <w:r>
        <w:rPr/>
        <w:t xml:space="preserve">: Comparison of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TextBody"/>
        <w:numPr>
          <w:ilvl w:val="0"/>
          <w:numId w:val="1"/>
        </w:numPr>
        <w:tabs>
          <w:tab w:val="clear" w:pos="720"/>
          <w:tab w:val="left" w:pos="0" w:leader="none"/>
        </w:tabs>
        <w:ind w:left="707" w:hanging="283"/>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 ).</w:t>
      </w:r>
    </w:p>
    <w:p>
      <w:pPr>
        <w:pStyle w:val="TextBody"/>
        <w:rPr>
          <w:color w:val="B7B7B7"/>
        </w:rPr>
      </w:pPr>
      <w:r>
        <w:rPr>
          <w:color w:val="B7B7B7"/>
        </w:rPr>
      </w:r>
    </w:p>
    <w:p>
      <w:pPr>
        <w:pStyle w:val="TextBody"/>
        <w:rPr>
          <w:color w:val="B7B7B7"/>
        </w:rPr>
      </w:pPr>
      <w:r>
        <w:rPr/>
        <w:t>// TODO It can be very interesting to add also histograms to show the distribution of the data</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pPr>
      <w:r>
        <w:rPr/>
      </w:r>
    </w:p>
    <w:p>
      <w:pPr>
        <w:pStyle w:val="LOnormal"/>
        <w:rPr>
          <w:b w:val="false"/>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 w:val="false"/>
          <w:bCs w:val="false"/>
        </w:rPr>
      </w:pPr>
      <w:r>
        <w:rPr>
          <w:b w:val="false"/>
          <w:bCs w:val="false"/>
        </w:rPr>
        <w:t>The computed descriptive statistics are reported below:</w:t>
      </w:r>
    </w:p>
    <w:p>
      <w:pPr>
        <w:pStyle w:val="LOnormal"/>
        <w:rPr>
          <w:b w:val="false"/>
          <w:b w:val="false"/>
          <w:bCs w:val="false"/>
        </w:rPr>
      </w:pPr>
      <w:r>
        <w:rPr>
          <w:b w:val="false"/>
          <w:bCs w:val="false"/>
        </w:rPr>
      </w:r>
    </w:p>
    <w:p>
      <w:pPr>
        <w:pStyle w:val="TextBody"/>
        <w:spacing w:before="0" w:after="0"/>
        <w:rPr>
          <w:color w:val="B7B7B7"/>
        </w:rPr>
      </w:pPr>
      <w:r>
        <w:rPr>
          <w:b w:val="false"/>
          <w:bCs w:val="false"/>
        </w:rPr>
        <w:tab/>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TextBody"/>
        <w:numPr>
          <w:ilvl w:val="0"/>
          <w:numId w:val="2"/>
        </w:numPr>
        <w:tabs>
          <w:tab w:val="clear" w:pos="720"/>
          <w:tab w:val="left" w:pos="0" w:leader="none"/>
        </w:tabs>
        <w:spacing w:before="0" w:after="0"/>
        <w:ind w:left="720" w:hanging="283"/>
        <w:rPr>
          <w:color w:val="B7B7B7"/>
        </w:rPr>
      </w:pP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3"/>
        </w:numPr>
        <w:tabs>
          <w:tab w:val="clear" w:pos="720"/>
          <w:tab w:val="left" w:pos="0" w:leader="none"/>
        </w:tabs>
        <w:spacing w:before="0" w:after="0"/>
        <w:ind w:left="720" w:hanging="283"/>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4"/>
        </w:numPr>
        <w:tabs>
          <w:tab w:val="clear" w:pos="720"/>
          <w:tab w:val="left" w:pos="0" w:leader="none"/>
        </w:tabs>
        <w:spacing w:before="0" w:after="0"/>
        <w:ind w:left="720" w:hanging="283"/>
        <w:rPr>
          <w:color w:val="B7B7B7"/>
        </w:rPr>
      </w:pP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TextBody"/>
        <w:numPr>
          <w:ilvl w:val="0"/>
          <w:numId w:val="5"/>
        </w:numPr>
        <w:tabs>
          <w:tab w:val="clear" w:pos="720"/>
          <w:tab w:val="left" w:pos="0" w:leader="none"/>
        </w:tabs>
        <w:ind w:left="720" w:hanging="283"/>
        <w:rPr>
          <w:color w:val="B7B7B7"/>
        </w:rPr>
      </w:pP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 w:val="false"/>
          <w:bCs w:val="false"/>
        </w:rPr>
      </w:pPr>
      <w:r>
        <w:rPr>
          <w:b w:val="false"/>
          <w:bCs w:val="false"/>
        </w:rPr>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b w:val="false"/>
          <w:bCs w:val="false"/>
        </w:rPr>
        <w:t>The following section presents a detailed overview of the inferential statistics computed using the Independent Samples T-Test .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TextBody"/>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TextBody"/>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 w:val="false"/>
          <w:bCs w:val="false"/>
        </w:rPr>
      </w:pPr>
      <w:r>
        <w:rPr>
          <w:b w:val="false"/>
          <w:bCs w:val="false"/>
        </w:rPr>
        <w:t>The computed inferential statistics, along with the associated descriptive measures Cohen’s d and SE Cohen’s d, are presented below:</w:t>
      </w:r>
    </w:p>
    <w:p>
      <w:pPr>
        <w:pStyle w:val="LOnormal"/>
        <w:rPr>
          <w:b w:val="false"/>
          <w:b w:val="false"/>
          <w:bCs w:val="false"/>
        </w:rPr>
      </w:pPr>
      <w:r>
        <w:rPr>
          <w:b w:val="false"/>
          <w:bCs w:val="false"/>
        </w:rPr>
      </w:r>
    </w:p>
    <w:p>
      <w:pPr>
        <w:pStyle w:val="TextBody"/>
        <w:spacing w:before="0" w:after="0"/>
        <w:rPr>
          <w:color w:val="B7B7B7"/>
        </w:rPr>
      </w:pPr>
      <w:r>
        <w:rPr>
          <w:b w:val="false"/>
          <w:bCs w:val="false"/>
        </w:rPr>
        <w:tab/>
      </w:r>
      <w:r>
        <w:rPr>
          <w:rStyle w:val="StrongEmphasis"/>
        </w:rPr>
        <w:t>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pPr>
      <w:r>
        <w:rPr/>
      </w:r>
    </w:p>
    <w:p>
      <w:pPr>
        <w:pStyle w:val="TextBody"/>
        <w:rPr/>
      </w:pPr>
      <w:r>
        <w:rPr/>
        <w:t xml:space="preserve">The hypothesis </w:t>
      </w:r>
      <w:r>
        <w:rPr/>
        <w:t>states</w:t>
      </w:r>
      <w:r>
        <w:rPr/>
        <w:t xml:space="preserve"> that there is no statistically significant difference in reading speed between camelCase and kebab-case for composed identifiers. The results of the inferential analysis </w:t>
      </w:r>
      <w:r>
        <w:rPr/>
        <w:t xml:space="preserve">on the entire population </w:t>
      </w:r>
      <w:r>
        <w:rPr/>
        <w:t xml:space="preserve">support the null hypothesis, as the p-value exceeds 0.05, confirming that there is no significant difference in reading times between the two </w:t>
      </w:r>
      <w:r>
        <w:rPr/>
        <w:t>styles</w:t>
      </w:r>
      <w:r>
        <w:rPr/>
        <w:t>. This suggests that the choice of text format does not have a systematic impact on reading performance across the entire population.</w:t>
      </w:r>
    </w:p>
    <w:p>
      <w:pPr>
        <w:pStyle w:val="TextBody"/>
        <w:rPr/>
      </w:pPr>
      <w:r>
        <w:rPr/>
        <w:t>Moreover, the low value of Cohen's d (Cohen’s d = -0.113) further reinforces the conclusion that any observed differences in reading performance within the population are not meaningful.</w:t>
      </w:r>
    </w:p>
    <w:p>
      <w:pPr>
        <w:pStyle w:val="TextBody"/>
        <w:rPr/>
      </w:pPr>
      <w:r>
        <w:rPr/>
        <w:t xml:space="preserve">However, the descriptive statistics provided additional context. The mean and median reading times for CamelCase were consistently higher than those for kebab-case across the </w:t>
      </w:r>
      <w:r>
        <w:rPr/>
        <w:t xml:space="preserve">entire </w:t>
      </w:r>
      <w:r>
        <w:rPr/>
        <w:t xml:space="preserve">population and </w:t>
      </w:r>
      <w:r>
        <w:rPr/>
        <w:t>all the</w:t>
      </w:r>
      <w:r>
        <w:rPr/>
        <w:t xml:space="preserve"> sample</w:t>
      </w:r>
      <w:r>
        <w:rPr/>
        <w:t>s</w:t>
      </w:r>
      <w:r>
        <w:rPr/>
        <w:t>. In addition, CamelCase displayed slightly greater variability in reading times, as indicated by its larger standard deviation and interquartile range compared to kebab-case.</w:t>
      </w:r>
    </w:p>
    <w:p>
      <w:pPr>
        <w:pStyle w:val="TextBody"/>
        <w:rPr/>
      </w:pPr>
      <w:r>
        <w:rPr/>
        <w:t>Based on these results, the findings from the inferential analysis support</w:t>
      </w:r>
      <w:r>
        <w:rPr/>
        <w:t>s</w:t>
      </w:r>
      <w:r>
        <w:rPr/>
        <w:t xml:space="preserve"> the hypothesis that reading performance </w:t>
      </w:r>
      <w:r>
        <w:rPr/>
        <w:t xml:space="preserve">doesn’t </w:t>
      </w:r>
      <w:r>
        <w:rPr/>
        <w:t xml:space="preserve">differ significantly between the two text </w:t>
      </w:r>
      <w:r>
        <w:rPr/>
        <w:t>styles</w:t>
      </w:r>
      <w:r>
        <w:rPr/>
        <w:t xml:space="preserve">. Although descriptive statistics suggest a potential disadvantage for CamelCase, </w:t>
      </w:r>
      <w:r>
        <w:rPr/>
        <w:t xml:space="preserve">however </w:t>
      </w:r>
      <w:r>
        <w:rPr/>
        <w:t>these trends were not strong enough to reach statistical significance at the population level.</w:t>
      </w:r>
    </w:p>
    <w:p>
      <w:pPr>
        <w:pStyle w:val="LOnormal"/>
        <w:rPr/>
      </w:pPr>
      <w:r>
        <w:rPr/>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8</Pages>
  <Words>2568</Words>
  <Characters>14454</Characters>
  <CharactersWithSpaces>16920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2024-12-19T11:06:15Z</dcterms:modified>
  <cp:revision>16</cp:revision>
  <dc:subject/>
  <dc:title/>
</cp:coreProperties>
</file>