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8" w:space="6"/>
        </w:pBd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3분기 비즈니스 보고서</w:t>
      </w:r>
    </w:p>
    <w:p>
      <w:pPr>
        <w:spacing w:after="320"/>
        <w:jc w:val="center"/>
      </w:pPr>
      <w:r>
        <w:rPr>
          <w:color w:val="666666"/>
          <w:sz w:val="20"/>
          <w:szCs w:val="20"/>
        </w:rPr>
        <w:t xml:space="preserve">작성일: 2026-06-30  |  작성자: 사업기획팀</w:t>
      </w:r>
    </w:p>
    <w:p>
      <w:pPr>
        <w:pStyle w:val="Heading1"/>
        <w:spacing w:after="160" w:before="320"/>
      </w:pPr>
      <w:r>
        <w:t xml:space="preserve">1. 개요</w:t>
      </w:r>
    </w:p>
    <w:p>
      <w:pPr>
        <w:spacing w:after="120"/>
        <w:jc w:val="both"/>
      </w:pPr>
      <w:r>
        <w:t xml:space="preserve">3분기는 신규 기업 파트너십 체결과 솔루션 라이선스 확대를 중심으로 매출·회원 지표 모두 목표를 상회한 분기였다. 동시에 소방 점검 앱 FireCode의 필드 테스트를 완료하고, 멀티모달 RAG 파이프라인을 고도화하여 4분기 유료화 전환의 기술적 기반을 마련했다.</w:t>
      </w:r>
    </w:p>
    <w:p>
      <w:pPr>
        <w:pStyle w:val="Heading1"/>
        <w:spacing w:after="160" w:before="320"/>
      </w:pPr>
      <w:r>
        <w:t xml:space="preserve">2. 주요 실적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1900"/>
      </w:tblGrid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목표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실적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달성률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매출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5.0억 원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5.8억 원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116%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유료 회원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2,500명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2,850명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114%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전 분기 대비 성장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150%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신규 기업 파트너십 4건 체결 — 엔터프라이즈 매출 비중 확대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솔루션 라이선스 판매 확대로 매출 5.8억 원 달성 (목표 대비 116%)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유료 회원 2,850명 확보 (목표 대비 114%), 전 분기 대비 15% 성장</w:t>
      </w:r>
    </w:p>
    <w:p>
      <w:pPr>
        <w:pStyle w:val="Heading1"/>
        <w:spacing w:after="160" w:before="320"/>
      </w:pPr>
      <w:r>
        <w:t xml:space="preserve">3. 제품 · 기술 진척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소방 점검 앱 FireCode 필드 테스트 완료 — 현장 업무 효율 40% 향상 확인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다국어 멀티모달 RAG 파이프라인 고도화 — 표·문서 파싱 정확도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문서 처리 응답 속도 개선 및 오류율 감소</w:t>
      </w:r>
    </w:p>
    <w:p>
      <w:pPr>
        <w:pStyle w:val="Heading1"/>
        <w:spacing w:after="160" w:before="320"/>
      </w:pPr>
      <w:r>
        <w:t xml:space="preserve">4. 4분기 계획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FireCode 정식 출시 및 유료화 전환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서버 아키텍처 다변화를 통한 안정성·확장성 확보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비즈니스 자동화 가이드북 배포로 신규 고객 유입 확대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수익 구조 안착을 위한 요금제 재정비</w:t>
      </w:r>
    </w:p>
    <w:p>
      <w:pPr>
        <w:pStyle w:val="Heading1"/>
        <w:spacing w:after="160" w:before="320"/>
      </w:pPr>
      <w:r>
        <w:t xml:space="preserve">5. 리스크 및 대응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유료화 전환 시 기존 무료 사용자 이탈 가능성 → 전환 프로모션 및 마이그레이션 지원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트래픽 증가에 따른 인프라 부하 → 서버 아키텍처 다변화로 선제 대응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2026-07-14T07:15:01.594Z</dcterms:created>
  <dcterms:modified xsi:type="dcterms:W3CDTF">2026-07-14T07:15:01.606Z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