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재무 현황 및 자금 계획 (Financial Status)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매출 현황 (2024년 추정)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PoC(기술 검증) 매출: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대기업 3개사와 유료 PoC 진행 중 (총 1.5억 원).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SaaS 구독 매출: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2025년 상반기 정식 런칭 후 월 반복 매출(MRR) 5,000만 원 달성 목표.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투자 유치 현황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[VC 이름/엔젤 투자자]로부터 5억 원 유치 완료 (기업가치 50억 원 Post-money).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Series A 계획: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2025년 3분기, 제품 확장 및 글로벌 진출을 위해 30억 원 규모 라운드 오픈 예정.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자금 사용 계획 (Use of Funds)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R&amp;D (60%):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인공지능 모델 고도화 및 데이터 사이언티스트 핵심 인력 충원.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Marketing (25%):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B2B 컨퍼런스 참가 및 세일즈 파이프라인 구축.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Operations (15%):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클라우드 인프라 비용 및 사무 환경 구축.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