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기술 아키텍처 및 경쟁력 (Technical Excellence)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기술 아키텍처 다이어그램 (Conceptual)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[Data Sources] -&gt; [URSA Ingestion Engine] -&gt; [Vector DB] -&gt; [URSA Guardrail] -&gt; [User UI]</w:t>
        <w:br w:type="textWrapping"/>
        <w:t xml:space="preserve">   (PDF, SQL,      (Auto-Cleaning,           (Milvus/     (Hallucination   (Web/Mobile/</w:t>
        <w:br w:type="textWrapping"/>
        <w:t xml:space="preserve">    Slack, etc.)    Embedding)                Pinecone)    Detection)       Slack Bot)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핵심 기술 차별점 (USP)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Hallucination Guard (특허 출원 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답변의 근거가 사내 문서에 없을 경우 '모름'을 선언하거나 문서의 특정 페이지를 하이라이트하여 제시하는 기술.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RAG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단순 키워드 검색과 시맨틱(의미론적) 검색을 혼합하여 한국어 맥락 이해도 98% 달성.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고가의 GPU 서버 없이도 구동 가능한 경량화 모델(sLLM) 최적화 기술 보유.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지식재산권 현황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"비정형 데이터 기반의 실시간 사실 확인을 포함하는 생성형 응답 시스템" 외 2건 출원.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"URSA AI", "Bear-Hug Intelligence" 상표권 확보.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