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300"/>
              <w:left w:type="dxa" w:w="400"/>
              <w:bottom w:type="dxa" w:w="300"/>
              <w:right w:type="dxa" w:w="400"/>
            </w:tcMar>
          </w:tcPr>
          <w:p>
            <w:pPr>
              <w:spacing w:after="60"/>
            </w:pPr>
            <w:r>
              <w:rPr>
                <w:rFonts w:ascii="Arial" w:cs="Arial" w:eastAsia="Arial" w:hAnsi="Arial"/>
                <w:b/>
                <w:bCs/>
                <w:caps/>
                <w:color w:val="FFFFFF"/>
                <w:sz w:val="52"/>
                <w:szCs w:val="52"/>
              </w:rPr>
              <w:t xml:space="preserve">OASIS AT SAN MARCO</w:t>
            </w:r>
          </w:p>
          <w:p>
            <w:pPr>
              <w:spacing w:after="60"/>
            </w:pPr>
            <w:r>
              <w:rPr>
                <w:rFonts w:ascii="Arial" w:cs="Arial" w:eastAsia="Arial" w:hAnsi="Arial"/>
                <w:b/>
                <w:bCs/>
                <w:color w:val="D6E4F0"/>
                <w:sz w:val="28"/>
                <w:szCs w:val="28"/>
              </w:rPr>
              <w:t xml:space="preserve">Property Tax Database — Complete Guide</w:t>
            </w:r>
          </w:p>
          <w:p>
            <w:pPr>
              <w:spacing w:after="0"/>
            </w:pPr>
            <w:r>
              <w:rPr>
                <w:rFonts w:ascii="Arial" w:cs="Arial" w:eastAsia="Arial" w:hAnsi="Arial"/>
                <w:color w:val="D6E4F0"/>
                <w:sz w:val="20"/>
                <w:szCs w:val="20"/>
              </w:rPr>
              <w:t xml:space="preserve">Red Raider 45 LLC  ·  Duval County, FL  ·  Parcel 129496-0000  ·  Updated April 1, 2026</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2025 Final Tax Bill</w:t>
            </w:r>
          </w:p>
        </w:tc>
        <w:tc>
          <w:tcPr>
            <w:tcW w:type="dxa" w:w="2340"/>
            <w:tcBorders>
              <w:top w:val="single" w:color="1A7A7A" w:sz="6"/>
              <w:left w:val="single" w:color="1A7A7A" w:sz="6"/>
              <w:bottom w:val="single" w:color="1A7A7A" w:sz="6"/>
              <w:right w:val="single" w:color="1A7A7A" w:sz="6"/>
            </w:tcBorders>
            <w:shd w:fill="1A7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2025 After Appeal</w:t>
            </w:r>
          </w:p>
        </w:tc>
        <w:tc>
          <w:tcPr>
            <w:tcW w:type="dxa" w:w="2340"/>
            <w:tcBorders>
              <w:top w:val="single" w:color="1E6B3C" w:sz="6"/>
              <w:left w:val="single" w:color="1E6B3C" w:sz="6"/>
              <w:bottom w:val="single" w:color="1E6B3C" w:sz="6"/>
              <w:right w:val="single" w:color="1E6B3C" w:sz="6"/>
            </w:tcBorders>
            <w:shd w:fill="1E6B3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Annual Savings Won</w:t>
            </w:r>
          </w:p>
        </w:tc>
        <w:tc>
          <w:tcPr>
            <w:tcW w:type="dxa" w:w="2340"/>
            <w:tcBorders>
              <w:top w:val="single" w:color="5C2D91" w:sz="6"/>
              <w:left w:val="single" w:color="5C2D91" w:sz="6"/>
              <w:bottom w:val="single" w:color="5C2D91" w:sz="6"/>
              <w:right w:val="single" w:color="5C2D91" w:sz="6"/>
            </w:tcBorders>
            <w:shd w:fill="5C2D9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2026 Projected Bill</w:t>
            </w:r>
          </w:p>
        </w:tc>
      </w:tr>
      <w:tr>
        <w:tc>
          <w:tcPr>
            <w:tcW w:type="dxa" w:w="2340"/>
            <w:tcBorders>
              <w:top w:val="single" w:color="1B3A5C" w:sz="6"/>
              <w:left w:val="single" w:color="1B3A5C" w:sz="6"/>
              <w:bottom w:val="single" w:color="1B3A5C" w:sz="6"/>
              <w:right w:val="single" w:color="1B3A5C" w:sz="6"/>
            </w:tcBorders>
            <w:shd w:fill="D6E4F0" w:val="clear"/>
            <w:tcMar>
              <w:top w:type="dxa" w:w="100"/>
              <w:left w:type="dxa" w:w="100"/>
              <w:bottom w:type="dxa" w:w="100"/>
              <w:right w:type="dxa" w:w="100"/>
            </w:tcMar>
          </w:tcPr>
          <w:p>
            <w:pPr>
              <w:jc w:val="center"/>
            </w:pPr>
            <w:r>
              <w:rPr>
                <w:rFonts w:ascii="Arial" w:cs="Arial" w:eastAsia="Arial" w:hAnsi="Arial"/>
                <w:b/>
                <w:bCs/>
                <w:color w:val="1B3A5C"/>
                <w:sz w:val="28"/>
                <w:szCs w:val="28"/>
              </w:rPr>
              <w:t xml:space="preserve">$165,587</w:t>
            </w:r>
          </w:p>
          <w:p>
            <w:pPr>
              <w:jc w:val="center"/>
            </w:pPr>
            <w:r>
              <w:rPr>
                <w:rFonts w:ascii="Arial" w:cs="Arial" w:eastAsia="Arial" w:hAnsi="Arial"/>
                <w:color w:val="555555"/>
                <w:sz w:val="16"/>
                <w:szCs w:val="16"/>
              </w:rPr>
              <w:t xml:space="preserve">original bill</w:t>
            </w:r>
          </w:p>
        </w:tc>
        <w:tc>
          <w:tcPr>
            <w:tcW w:type="dxa" w:w="2340"/>
            <w:tcBorders>
              <w:top w:val="single" w:color="1A7A7A" w:sz="6"/>
              <w:left w:val="single" w:color="1A7A7A" w:sz="6"/>
              <w:bottom w:val="single" w:color="1A7A7A" w:sz="6"/>
              <w:right w:val="single" w:color="1A7A7A" w:sz="6"/>
            </w:tcBorders>
            <w:shd w:fill="E0F4F4" w:val="clear"/>
            <w:tcMar>
              <w:top w:type="dxa" w:w="100"/>
              <w:left w:type="dxa" w:w="100"/>
              <w:bottom w:type="dxa" w:w="100"/>
              <w:right w:type="dxa" w:w="100"/>
            </w:tcMar>
          </w:tcPr>
          <w:p>
            <w:pPr>
              <w:jc w:val="center"/>
            </w:pPr>
            <w:r>
              <w:rPr>
                <w:rFonts w:ascii="Arial" w:cs="Arial" w:eastAsia="Arial" w:hAnsi="Arial"/>
                <w:b/>
                <w:bCs/>
                <w:color w:val="1A7A7A"/>
                <w:sz w:val="28"/>
                <w:szCs w:val="28"/>
              </w:rPr>
              <w:t xml:space="preserve">$155,954</w:t>
            </w:r>
          </w:p>
          <w:p>
            <w:pPr>
              <w:jc w:val="center"/>
            </w:pPr>
            <w:r>
              <w:rPr>
                <w:rFonts w:ascii="Arial" w:cs="Arial" w:eastAsia="Arial" w:hAnsi="Arial"/>
                <w:color w:val="555555"/>
                <w:sz w:val="16"/>
                <w:szCs w:val="16"/>
              </w:rPr>
              <w:t xml:space="preserve">appeal reduced</w:t>
            </w:r>
          </w:p>
        </w:tc>
        <w:tc>
          <w:tcPr>
            <w:tcW w:type="dxa" w:w="2340"/>
            <w:tcBorders>
              <w:top w:val="single" w:color="1E6B3C" w:sz="6"/>
              <w:left w:val="single" w:color="1E6B3C" w:sz="6"/>
              <w:bottom w:val="single" w:color="1E6B3C" w:sz="6"/>
              <w:right w:val="single" w:color="1E6B3C" w:sz="6"/>
            </w:tcBorders>
            <w:shd w:fill="E8F5EE" w:val="clear"/>
            <w:tcMar>
              <w:top w:type="dxa" w:w="100"/>
              <w:left w:type="dxa" w:w="100"/>
              <w:bottom w:type="dxa" w:w="100"/>
              <w:right w:type="dxa" w:w="100"/>
            </w:tcMar>
          </w:tcPr>
          <w:p>
            <w:pPr>
              <w:jc w:val="center"/>
            </w:pPr>
            <w:r>
              <w:rPr>
                <w:rFonts w:ascii="Arial" w:cs="Arial" w:eastAsia="Arial" w:hAnsi="Arial"/>
                <w:b/>
                <w:bCs/>
                <w:color w:val="1E6B3C"/>
                <w:sz w:val="28"/>
                <w:szCs w:val="28"/>
              </w:rPr>
              <w:t xml:space="preserve">$7,348.50</w:t>
            </w:r>
          </w:p>
          <w:p>
            <w:pPr>
              <w:jc w:val="center"/>
            </w:pPr>
            <w:r>
              <w:rPr>
                <w:rFonts w:ascii="Arial" w:cs="Arial" w:eastAsia="Arial" w:hAnsi="Arial"/>
                <w:color w:val="555555"/>
                <w:sz w:val="16"/>
                <w:szCs w:val="16"/>
              </w:rPr>
              <w:t xml:space="preserve">net to owner after CBRE fee</w:t>
            </w:r>
          </w:p>
        </w:tc>
        <w:tc>
          <w:tcPr>
            <w:tcW w:type="dxa" w:w="2340"/>
            <w:tcBorders>
              <w:top w:val="single" w:color="5C2D91" w:sz="6"/>
              <w:left w:val="single" w:color="5C2D91" w:sz="6"/>
              <w:bottom w:val="single" w:color="5C2D91" w:sz="6"/>
              <w:right w:val="single" w:color="5C2D91" w:sz="6"/>
            </w:tcBorders>
            <w:shd w:fill="F0EBF9" w:val="clear"/>
            <w:tcMar>
              <w:top w:type="dxa" w:w="100"/>
              <w:left w:type="dxa" w:w="100"/>
              <w:bottom w:type="dxa" w:w="100"/>
              <w:right w:type="dxa" w:w="100"/>
            </w:tcMar>
          </w:tcPr>
          <w:p>
            <w:pPr>
              <w:jc w:val="center"/>
            </w:pPr>
            <w:r>
              <w:rPr>
                <w:rFonts w:ascii="Arial" w:cs="Arial" w:eastAsia="Arial" w:hAnsi="Arial"/>
                <w:b/>
                <w:bCs/>
                <w:color w:val="5C2D91"/>
                <w:sz w:val="28"/>
                <w:szCs w:val="28"/>
              </w:rPr>
              <w:t xml:space="preserve">$165,739</w:t>
            </w:r>
          </w:p>
          <w:p>
            <w:pPr>
              <w:jc w:val="center"/>
            </w:pPr>
            <w:r>
              <w:rPr>
                <w:rFonts w:ascii="Arial" w:cs="Arial" w:eastAsia="Arial" w:hAnsi="Arial"/>
                <w:color w:val="555555"/>
                <w:sz w:val="16"/>
                <w:szCs w:val="16"/>
              </w:rPr>
              <w:t xml:space="preserve">if no appeal succeeds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2E6DA4" w:val="clear"/>
          </w:tcPr>
          <w:p/>
        </w:tc>
        <w:tc>
          <w:tcPr>
            <w:tcW w:type="dxa" w:w="9120"/>
            <w:tcBorders>
              <w:top w:val="none" w:color="FFFFFF" w:sz="0"/>
              <w:left w:val="none" w:color="FFFFFF" w:sz="0"/>
              <w:bottom w:val="none" w:color="FFFFFF" w:sz="0"/>
              <w:right w:val="none" w:color="FFFFFF" w:sz="0"/>
            </w:tcBorders>
            <w:shd w:fill="EBF4FB" w:val="clear"/>
            <w:tcMar>
              <w:top w:type="dxa" w:w="100"/>
              <w:left w:type="dxa" w:w="200"/>
              <w:bottom w:type="dxa" w:w="100"/>
              <w:right w:type="dxa" w:w="200"/>
            </w:tcMar>
          </w:tcPr>
          <w:p>
            <w:r>
              <w:rPr>
                <w:rFonts w:ascii="Arial" w:cs="Arial" w:eastAsia="Arial" w:hAnsi="Arial"/>
                <w:color w:val="1B3A5C"/>
                <w:sz w:val="20"/>
                <w:szCs w:val="20"/>
              </w:rPr>
              <w:t xml:space="preserve">This guide explains every section of the Oasis at San Marco tax database so that anyone — regardless of tax experience — can open the spreadsheet, read the numbers, and understand exactly what they mean, where they come from, and what actions are in play.</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40"/>
              <w:left w:type="dxa" w:w="300"/>
              <w:bottom w:type="dxa" w:w="140"/>
              <w:right w:type="dxa" w:w="300"/>
            </w:tcMar>
          </w:tcPr>
          <w:p>
            <w:r>
              <w:rPr>
                <w:rFonts w:ascii="Arial" w:cs="Arial" w:eastAsia="Arial" w:hAnsi="Arial"/>
                <w:b/>
                <w:bCs/>
                <w:caps/>
                <w:color w:val="FFFFFF"/>
                <w:sz w:val="26"/>
                <w:szCs w:val="26"/>
              </w:rPr>
              <w:t xml:space="preserve">Section 1 — Property Identity &amp; Registration</w:t>
            </w:r>
          </w:p>
        </w:tc>
      </w:tr>
    </w:tbl>
    <w:p>
      <w:pPr>
        <w:spacing w:after="0" w:before="120"/>
      </w:pPr>
    </w:p>
    <w:p>
      <w:pPr>
        <w:spacing w:after="60" w:before="80"/>
      </w:pPr>
      <w:r>
        <w:rPr>
          <w:rFonts w:ascii="Arial" w:cs="Arial" w:eastAsia="Arial" w:hAnsi="Arial"/>
          <w:color w:val="333333"/>
          <w:sz w:val="20"/>
          <w:szCs w:val="20"/>
        </w:rPr>
        <w:t xml:space="preserve">Before diving into the tax numbers, it helps to know who owns this property, what it is, and how it is registered with government authorities. The information below appears at the top of the spreadsheet and serves as the property's official identity card for all tax purposes.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Arial" w:cs="Arial" w:eastAsia="Arial" w:hAnsi="Arial"/>
                <w:b/>
                <w:bCs/>
                <w:color w:val="1B3A5C"/>
                <w:sz w:val="18"/>
                <w:szCs w:val="18"/>
              </w:rPr>
              <w:t xml:space="preserve">Property Name</w:t>
            </w:r>
          </w:p>
        </w:tc>
        <w:tc>
          <w:tcPr>
            <w:tcW w:type="dxa" w:w="612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Oasis at San Marco</w:t>
            </w:r>
          </w:p>
        </w:tc>
      </w:tr>
      <w:tr>
        <w:tc>
          <w:tcPr>
            <w:tcW w:type="dxa" w:w="32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b/>
                <w:bCs/>
                <w:color w:val="1B3A5C"/>
                <w:sz w:val="18"/>
                <w:szCs w:val="18"/>
              </w:rPr>
              <w:t xml:space="preserve">Physical Address</w:t>
            </w:r>
          </w:p>
        </w:tc>
        <w:tc>
          <w:tcPr>
            <w:tcW w:type="dxa" w:w="6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4800 Atlantic Blvd, Jacksonville, FL 32207</w:t>
            </w:r>
          </w:p>
        </w:tc>
      </w:tr>
      <w:tr>
        <w:tc>
          <w:tcPr>
            <w:tcW w:type="dxa" w:w="324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Arial" w:cs="Arial" w:eastAsia="Arial" w:hAnsi="Arial"/>
                <w:b/>
                <w:bCs/>
                <w:color w:val="1B3A5C"/>
                <w:sz w:val="18"/>
                <w:szCs w:val="18"/>
              </w:rPr>
              <w:t xml:space="preserve">Legal Owner / Entity</w:t>
            </w:r>
          </w:p>
        </w:tc>
        <w:tc>
          <w:tcPr>
            <w:tcW w:type="dxa" w:w="612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Red Raider 45 LLC</w:t>
            </w:r>
          </w:p>
        </w:tc>
      </w:tr>
      <w:tr>
        <w:tc>
          <w:tcPr>
            <w:tcW w:type="dxa" w:w="32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b/>
                <w:bCs/>
                <w:color w:val="1B3A5C"/>
                <w:sz w:val="18"/>
                <w:szCs w:val="18"/>
              </w:rPr>
              <w:t xml:space="preserve">Property Manager</w:t>
            </w:r>
          </w:p>
        </w:tc>
        <w:tc>
          <w:tcPr>
            <w:tcW w:type="dxa" w:w="6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Vinnie Patel</w:t>
            </w:r>
          </w:p>
        </w:tc>
      </w:tr>
      <w:tr>
        <w:tc>
          <w:tcPr>
            <w:tcW w:type="dxa" w:w="324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Arial" w:cs="Arial" w:eastAsia="Arial" w:hAnsi="Arial"/>
                <w:b/>
                <w:bCs/>
                <w:color w:val="1B3A5C"/>
                <w:sz w:val="18"/>
                <w:szCs w:val="18"/>
              </w:rPr>
              <w:t xml:space="preserve">Property Type</w:t>
            </w:r>
          </w:p>
        </w:tc>
        <w:tc>
          <w:tcPr>
            <w:tcW w:type="dxa" w:w="612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Apartment Complex (Leasing / Rental)</w:t>
            </w:r>
          </w:p>
        </w:tc>
      </w:tr>
      <w:tr>
        <w:tc>
          <w:tcPr>
            <w:tcW w:type="dxa" w:w="32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b/>
                <w:bCs/>
                <w:color w:val="1B3A5C"/>
                <w:sz w:val="18"/>
                <w:szCs w:val="18"/>
              </w:rPr>
              <w:t xml:space="preserve">County</w:t>
            </w:r>
          </w:p>
        </w:tc>
        <w:tc>
          <w:tcPr>
            <w:tcW w:type="dxa" w:w="6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Duval County, Florida</w:t>
            </w:r>
          </w:p>
        </w:tc>
      </w:tr>
      <w:tr>
        <w:tc>
          <w:tcPr>
            <w:tcW w:type="dxa" w:w="324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Arial" w:cs="Arial" w:eastAsia="Arial" w:hAnsi="Arial"/>
                <w:b/>
                <w:bCs/>
                <w:color w:val="1B3A5C"/>
                <w:sz w:val="18"/>
                <w:szCs w:val="18"/>
              </w:rPr>
              <w:t xml:space="preserve">Parcel Account #</w:t>
            </w:r>
          </w:p>
        </w:tc>
        <w:tc>
          <w:tcPr>
            <w:tcW w:type="dxa" w:w="612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129496-0000</w:t>
            </w:r>
          </w:p>
        </w:tc>
      </w:tr>
      <w:tr>
        <w:tc>
          <w:tcPr>
            <w:tcW w:type="dxa" w:w="32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b/>
                <w:bCs/>
                <w:color w:val="1B3A5C"/>
                <w:sz w:val="18"/>
                <w:szCs w:val="18"/>
              </w:rPr>
              <w:t xml:space="preserve">Date Acquired</w:t>
            </w:r>
          </w:p>
        </w:tc>
        <w:tc>
          <w:tcPr>
            <w:tcW w:type="dxa" w:w="6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January 22, 2024 (Red Raider 45 LLC from Toro JAX Property II LLC)</w:t>
            </w:r>
          </w:p>
        </w:tc>
      </w:tr>
      <w:tr>
        <w:tc>
          <w:tcPr>
            <w:tcW w:type="dxa" w:w="324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Arial" w:cs="Arial" w:eastAsia="Arial" w:hAnsi="Arial"/>
                <w:b/>
                <w:bCs/>
                <w:color w:val="1B3A5C"/>
                <w:sz w:val="18"/>
                <w:szCs w:val="18"/>
              </w:rPr>
              <w:t xml:space="preserve">NAICS Code</w:t>
            </w:r>
          </w:p>
        </w:tc>
        <w:tc>
          <w:tcPr>
            <w:tcW w:type="dxa" w:w="612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531110 — Lessors of Residential Buildings</w:t>
            </w:r>
          </w:p>
        </w:tc>
      </w:tr>
      <w:tr>
        <w:tc>
          <w:tcPr>
            <w:tcW w:type="dxa" w:w="32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b/>
                <w:bCs/>
                <w:color w:val="1B3A5C"/>
                <w:sz w:val="18"/>
                <w:szCs w:val="18"/>
              </w:rPr>
              <w:t xml:space="preserve">Federal EIN</w:t>
            </w:r>
          </w:p>
        </w:tc>
        <w:tc>
          <w:tcPr>
            <w:tcW w:type="dxa" w:w="6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XX-X502338 (partial)</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2E6DA4" w:val="clear"/>
          </w:tcPr>
          <w:p/>
        </w:tc>
        <w:tc>
          <w:tcPr>
            <w:tcW w:type="dxa" w:w="9120"/>
            <w:tcBorders>
              <w:top w:val="none" w:color="FFFFFF" w:sz="0"/>
              <w:left w:val="none" w:color="FFFFFF" w:sz="0"/>
              <w:bottom w:val="none" w:color="FFFFFF" w:sz="0"/>
              <w:right w:val="none" w:color="FFFFFF" w:sz="0"/>
            </w:tcBorders>
            <w:shd w:fill="EBF4FB" w:val="clear"/>
            <w:tcMar>
              <w:top w:type="dxa" w:w="100"/>
              <w:left w:type="dxa" w:w="200"/>
              <w:bottom w:type="dxa" w:w="100"/>
              <w:right w:type="dxa" w:w="200"/>
            </w:tcMar>
          </w:tcPr>
          <w:p>
            <w:r>
              <w:rPr>
                <w:rFonts w:ascii="Arial" w:cs="Arial" w:eastAsia="Arial" w:hAnsi="Arial"/>
                <w:color w:val="1B3A5C"/>
                <w:sz w:val="20"/>
                <w:szCs w:val="20"/>
              </w:rPr>
              <w:t xml:space="preserve">The parcel account number (129496-0000) is the single most important identifier for this property in all Duval County tax records. Any time you look up this property on the county website, search for this number.</w:t>
            </w:r>
          </w:p>
        </w:tc>
      </w:tr>
    </w:tbl>
    <w:p>
      <w:pPr>
        <w:spacing w:after="0" w:before="120"/>
      </w:pPr>
    </w:p>
    <w:p>
      <w:pPr>
        <w:spacing w:after="60" w:before="180"/>
      </w:pPr>
      <w:r>
        <w:rPr>
          <w:rFonts w:ascii="Arial" w:cs="Arial" w:eastAsia="Arial" w:hAnsi="Arial"/>
          <w:b/>
          <w:bCs/>
          <w:color w:val="C05400"/>
          <w:sz w:val="21"/>
          <w:szCs w:val="21"/>
        </w:rPr>
        <w:t xml:space="preserve">Tax Consultant on File — CBRE</w:t>
      </w:r>
    </w:p>
    <w:p>
      <w:pPr>
        <w:spacing w:after="60" w:before="60"/>
      </w:pPr>
      <w:r>
        <w:rPr>
          <w:rFonts w:ascii="Arial" w:cs="Arial" w:eastAsia="Arial" w:hAnsi="Arial"/>
          <w:color w:val="333333"/>
          <w:sz w:val="20"/>
          <w:szCs w:val="20"/>
        </w:rPr>
        <w:t xml:space="preserve">The property works with CBRE Valuation &amp; Advisory Services to appeal its taxes each year. CBRE's engagement is on a pure contingency basis: they charge 20% of whatever gross tax savings they achieve, plus a flat $50 Florida filing fee. If they don't save the property money, they don't get paid. This makes hiring them a no-risk decision.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6DA4" w:val="clear"/>
            <w:tcMar>
              <w:top w:type="dxa" w:w="140"/>
              <w:left w:type="dxa" w:w="300"/>
              <w:bottom w:type="dxa" w:w="140"/>
              <w:right w:type="dxa" w:w="300"/>
            </w:tcMar>
          </w:tcPr>
          <w:p>
            <w:r>
              <w:rPr>
                <w:rFonts w:ascii="Arial" w:cs="Arial" w:eastAsia="Arial" w:hAnsi="Arial"/>
                <w:b/>
                <w:bCs/>
                <w:caps/>
                <w:color w:val="FFFFFF"/>
                <w:sz w:val="26"/>
                <w:szCs w:val="26"/>
              </w:rPr>
              <w:t xml:space="preserve">Section 2 — How Florida Property Taxes Work</w:t>
            </w:r>
          </w:p>
        </w:tc>
      </w:tr>
    </w:tbl>
    <w:p>
      <w:pPr>
        <w:spacing w:after="0" w:before="120"/>
      </w:pPr>
    </w:p>
    <w:p>
      <w:pPr>
        <w:spacing w:after="80" w:before="40"/>
      </w:pPr>
      <w:r>
        <w:rPr>
          <w:rFonts w:ascii="Arial" w:cs="Arial" w:eastAsia="Arial" w:hAnsi="Arial"/>
          <w:color w:val="555555"/>
          <w:sz w:val="20"/>
          <w:szCs w:val="20"/>
        </w:rPr>
        <w:t xml:space="preserve">If you've never dealt with Florida property taxes before, this section gives you everything you need to understand the numbers in this file. Skip it if you already know the basics.</w:t>
      </w:r>
    </w:p>
    <w:p>
      <w:pPr>
        <w:spacing w:after="60" w:before="180"/>
      </w:pPr>
      <w:r>
        <w:rPr>
          <w:rFonts w:ascii="Arial" w:cs="Arial" w:eastAsia="Arial" w:hAnsi="Arial"/>
          <w:b/>
          <w:bCs/>
          <w:color w:val="2E6DA4"/>
          <w:sz w:val="21"/>
          <w:szCs w:val="21"/>
        </w:rPr>
        <w:t xml:space="preserve">The Two Core Types of Property Tax</w:t>
      </w:r>
    </w:p>
    <w:p>
      <w:pPr>
        <w:spacing w:after="60" w:before="60"/>
      </w:pPr>
      <w:r>
        <w:rPr>
          <w:rFonts w:ascii="Arial" w:cs="Arial" w:eastAsia="Arial" w:hAnsi="Arial"/>
          <w:color w:val="333333"/>
          <w:sz w:val="20"/>
          <w:szCs w:val="20"/>
        </w:rPr>
        <w:t xml:space="preserve">Your annual tax bill has two very different categories of charges:</w:t>
      </w:r>
    </w:p>
    <w:p>
      <w:pPr>
        <w:pStyle w:val="ListParagraph"/>
        <w:numPr>
          <w:ilvl w:val="0"/>
          <w:numId w:val="1"/>
        </w:numPr>
        <w:spacing w:after="40" w:before="40"/>
      </w:pPr>
      <w:r>
        <w:rPr>
          <w:rFonts w:ascii="Arial" w:cs="Arial" w:eastAsia="Arial" w:hAnsi="Arial"/>
          <w:color w:val="333333"/>
          <w:sz w:val="20"/>
          <w:szCs w:val="20"/>
        </w:rPr>
        <w:t xml:space="preserve">Ad Valorem Tax — This is the big one. "Ad valorem" is Latin for "according to value." It means this tax is calculated as a percentage of the property's assessed value. The higher the county thinks your property is worth, the more you pay. This is why appealing the assessment matters.</w:t>
      </w:r>
    </w:p>
    <w:p>
      <w:pPr>
        <w:pStyle w:val="ListParagraph"/>
        <w:numPr>
          <w:ilvl w:val="0"/>
          <w:numId w:val="1"/>
        </w:numPr>
        <w:spacing w:after="40" w:before="40"/>
      </w:pPr>
      <w:r>
        <w:rPr>
          <w:rFonts w:ascii="Arial" w:cs="Arial" w:eastAsia="Arial" w:hAnsi="Arial"/>
          <w:color w:val="333333"/>
          <w:sz w:val="20"/>
          <w:szCs w:val="20"/>
        </w:rPr>
        <w:t xml:space="preserve">Non-Ad Valorem Charges — These are flat fees that do NOT change based on property value. For Oasis at San Marco, this is a single stormwater charge from the City of Jacksonville ($3,379.20/year). It has been exactly the same every year since at least 2021.</w:t>
      </w:r>
    </w:p>
    <w:p>
      <w:pPr>
        <w:spacing w:after="0" w:before="80"/>
      </w:pPr>
    </w:p>
    <w:p>
      <w:pPr>
        <w:spacing w:after="60" w:before="180"/>
      </w:pPr>
      <w:r>
        <w:rPr>
          <w:rFonts w:ascii="Arial" w:cs="Arial" w:eastAsia="Arial" w:hAnsi="Arial"/>
          <w:b/>
          <w:bCs/>
          <w:color w:val="2E6DA4"/>
          <w:sz w:val="21"/>
          <w:szCs w:val="21"/>
        </w:rPr>
        <w:t xml:space="preserve">What Is a Millage Rate?</w:t>
      </w:r>
    </w:p>
    <w:p>
      <w:pPr>
        <w:spacing w:after="60" w:before="60"/>
      </w:pPr>
      <w:r>
        <w:rPr>
          <w:rFonts w:ascii="Arial" w:cs="Arial" w:eastAsia="Arial" w:hAnsi="Arial"/>
          <w:color w:val="333333"/>
          <w:sz w:val="20"/>
          <w:szCs w:val="20"/>
        </w:rPr>
        <w:t xml:space="preserve">The millage rate is the tax rate used to calculate Ad Valorem taxes. The word "mill" comes from the Latin "mille" (thousand). A millage rate of 17.7412 means you pay $17.74 in tax for every $1,000 of assessed value. So if your property is assessed at $9,000,000, the calculation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1B3A5C" w:val="clear"/>
          </w:tcPr>
          <w:p/>
        </w:tc>
        <w:tc>
          <w:tcPr>
            <w:tcW w:type="dxa" w:w="912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r>
              <w:rPr>
                <w:rFonts w:ascii="Arial" w:cs="Arial" w:eastAsia="Arial" w:hAnsi="Arial"/>
                <w:color w:val="1B3A5C"/>
                <w:sz w:val="20"/>
                <w:szCs w:val="20"/>
              </w:rPr>
              <w:t xml:space="preserve">Assessed Value × (Millage Rate ÷ 1,000) = Ad Valorem Tax
$9,143,000 × (17.7412 ÷ 1,000) = $162,207.79</w:t>
            </w:r>
          </w:p>
        </w:tc>
      </w:tr>
    </w:tbl>
    <w:p>
      <w:pPr>
        <w:spacing w:after="0" w:before="80"/>
      </w:pPr>
    </w:p>
    <w:p>
      <w:pPr>
        <w:spacing w:after="60" w:before="180"/>
      </w:pPr>
      <w:r>
        <w:rPr>
          <w:rFonts w:ascii="Arial" w:cs="Arial" w:eastAsia="Arial" w:hAnsi="Arial"/>
          <w:b/>
          <w:bCs/>
          <w:color w:val="2E6DA4"/>
          <w:sz w:val="21"/>
          <w:szCs w:val="21"/>
        </w:rPr>
        <w:t xml:space="preserve">Who Gets a Piece of the Tax Bill?</w:t>
      </w:r>
    </w:p>
    <w:p>
      <w:pPr>
        <w:spacing w:after="60" w:before="60"/>
      </w:pPr>
      <w:r>
        <w:rPr>
          <w:rFonts w:ascii="Arial" w:cs="Arial" w:eastAsia="Arial" w:hAnsi="Arial"/>
          <w:color w:val="333333"/>
          <w:sz w:val="20"/>
          <w:szCs w:val="20"/>
        </w:rPr>
        <w:t xml:space="preserve">The annual tax bill is not one payment to one entity — it is split among multiple taxing authorities, each with their own millage rate. For Oasis at San Marco, those authorities are the City of Jacksonville, several school-related agencies, the St. Johns River Water Management District, and the Florida Inland Navigation District. The City of Jacksonville receives the largest single share (~63% of the total ad valorem bill).</w:t>
      </w:r>
    </w:p>
    <w:p>
      <w:pPr>
        <w:spacing w:after="0" w:before="80"/>
      </w:pPr>
    </w:p>
    <w:p>
      <w:pPr>
        <w:spacing w:after="60" w:before="180"/>
      </w:pPr>
      <w:r>
        <w:rPr>
          <w:rFonts w:ascii="Arial" w:cs="Arial" w:eastAsia="Arial" w:hAnsi="Arial"/>
          <w:b/>
          <w:bCs/>
          <w:color w:val="2E6DA4"/>
          <w:sz w:val="21"/>
          <w:szCs w:val="21"/>
        </w:rPr>
        <w:t xml:space="preserve">The 4% Early Payment Discount</w:t>
      </w:r>
    </w:p>
    <w:p>
      <w:pPr>
        <w:spacing w:after="60" w:before="60"/>
      </w:pPr>
      <w:r>
        <w:rPr>
          <w:rFonts w:ascii="Arial" w:cs="Arial" w:eastAsia="Arial" w:hAnsi="Arial"/>
          <w:color w:val="333333"/>
          <w:sz w:val="20"/>
          <w:szCs w:val="20"/>
        </w:rPr>
        <w:t xml:space="preserve">Florida law allows property owners to receive a 4% discount if they pay their November tax bill in full during November. For Oasis at San Marco, this discount is worth approximately $6,629 in 2026 — significant money that the team actively captures.</w:t>
      </w:r>
    </w:p>
    <w:p>
      <w:pPr>
        <w:spacing w:after="0" w:before="80"/>
      </w:pPr>
    </w:p>
    <w:p>
      <w:pPr>
        <w:spacing w:after="60" w:before="180"/>
      </w:pPr>
      <w:r>
        <w:rPr>
          <w:rFonts w:ascii="Arial" w:cs="Arial" w:eastAsia="Arial" w:hAnsi="Arial"/>
          <w:b/>
          <w:bCs/>
          <w:color w:val="2E6DA4"/>
          <w:sz w:val="21"/>
          <w:szCs w:val="21"/>
        </w:rPr>
        <w:t xml:space="preserve">What Is an Assessment Appeal?</w:t>
      </w:r>
    </w:p>
    <w:p>
      <w:pPr>
        <w:spacing w:after="60" w:before="60"/>
      </w:pPr>
      <w:r>
        <w:rPr>
          <w:rFonts w:ascii="Arial" w:cs="Arial" w:eastAsia="Arial" w:hAnsi="Arial"/>
          <w:color w:val="333333"/>
          <w:sz w:val="20"/>
          <w:szCs w:val="20"/>
        </w:rPr>
        <w:t xml:space="preserve">Each year, Duval County's Property Appraiser assigns a taxable value to the property. If the owner believes this value is too high relative to what the property would actually sell for (or what its income justifies), they can appeal. The appeal goes to the Value Adjustment Board (VAB) or is settled at the Assessor Level. A successful appeal lowers the assessed value, which directly lowers the tax bill.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7A" w:val="clear"/>
            <w:tcMar>
              <w:top w:type="dxa" w:w="140"/>
              <w:left w:type="dxa" w:w="300"/>
              <w:bottom w:type="dxa" w:w="140"/>
              <w:right w:type="dxa" w:w="300"/>
            </w:tcMar>
          </w:tcPr>
          <w:p>
            <w:r>
              <w:rPr>
                <w:rFonts w:ascii="Arial" w:cs="Arial" w:eastAsia="Arial" w:hAnsi="Arial"/>
                <w:b/>
                <w:bCs/>
                <w:caps/>
                <w:color w:val="FFFFFF"/>
                <w:sz w:val="26"/>
                <w:szCs w:val="26"/>
              </w:rPr>
              <w:t xml:space="preserve">Section 3 — Full Tax History (2021–2026)</w:t>
            </w:r>
          </w:p>
        </w:tc>
      </w:tr>
    </w:tbl>
    <w:p>
      <w:pPr>
        <w:spacing w:after="0" w:before="120"/>
      </w:pPr>
    </w:p>
    <w:p>
      <w:pPr>
        <w:spacing w:after="60" w:before="80"/>
      </w:pPr>
      <w:r>
        <w:rPr>
          <w:rFonts w:ascii="Arial" w:cs="Arial" w:eastAsia="Arial" w:hAnsi="Arial"/>
          <w:color w:val="333333"/>
          <w:sz w:val="20"/>
          <w:szCs w:val="20"/>
        </w:rPr>
        <w:t xml:space="preserve">This section covers the complete six-year tax record for the property. The first three years (2021–2023) belong to the prior owner, Toro JAX Property II LLC. Red Raider 45 LLC took ownership on January 22, 2024, and has owned the property for the 2024, 2025, and 2026 tax years.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1700"/>
        <w:gridCol w:w="1700"/>
        <w:gridCol w:w="900"/>
        <w:gridCol w:w="1700"/>
        <w:gridCol w:w="2500"/>
      </w:tblGrid>
      <w:tr>
        <w:tc>
          <w:tcPr>
            <w:tcW w:type="dxa" w:w="8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Year</w:t>
            </w:r>
          </w:p>
        </w:tc>
        <w:tc>
          <w:tcPr>
            <w:tcW w:type="dxa" w:w="17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Assessed Value</w:t>
            </w:r>
          </w:p>
        </w:tc>
        <w:tc>
          <w:tcPr>
            <w:tcW w:type="dxa" w:w="17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Ad Valorem Tax</w:t>
            </w:r>
          </w:p>
        </w:tc>
        <w:tc>
          <w:tcPr>
            <w:tcW w:type="dxa" w:w="9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Non-Ad Val.</w:t>
            </w:r>
          </w:p>
        </w:tc>
        <w:tc>
          <w:tcPr>
            <w:tcW w:type="dxa" w:w="17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Grand Total</w:t>
            </w:r>
          </w:p>
        </w:tc>
        <w:tc>
          <w:tcPr>
            <w:tcW w:type="dxa" w:w="25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Notes</w:t>
            </w:r>
          </w:p>
        </w:tc>
      </w:tr>
      <w:tr>
        <w:tc>
          <w:tcPr>
            <w:tcW w:type="dxa" w:w="8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Arial" w:cs="Arial" w:eastAsia="Arial" w:hAnsi="Arial"/>
                <w:b/>
                <w:bCs/>
                <w:color w:val="2E6DA4"/>
                <w:sz w:val="16"/>
                <w:szCs w:val="16"/>
              </w:rPr>
              <w:t xml:space="preserve">2021</w:t>
            </w:r>
          </w:p>
        </w:tc>
        <w:tc>
          <w:tcPr>
            <w:tcW w:type="dxa" w:w="17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$7,086,090</w:t>
            </w:r>
          </w:p>
        </w:tc>
        <w:tc>
          <w:tcPr>
            <w:tcW w:type="dxa" w:w="17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$127,076</w:t>
            </w:r>
          </w:p>
        </w:tc>
        <w:tc>
          <w:tcPr>
            <w:tcW w:type="dxa" w:w="9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$3,379</w:t>
            </w:r>
          </w:p>
        </w:tc>
        <w:tc>
          <w:tcPr>
            <w:tcW w:type="dxa" w:w="17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$130,455</w:t>
            </w:r>
          </w:p>
        </w:tc>
        <w:tc>
          <w:tcPr>
            <w:tcW w:type="dxa" w:w="25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Previous owner (Toro JAX Property II LLC)</w:t>
            </w:r>
          </w:p>
        </w:tc>
      </w:tr>
      <w:tr>
        <w:tc>
          <w:tcPr>
            <w:tcW w:type="dxa" w:w="8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bCs/>
                <w:color w:val="2E6DA4"/>
                <w:sz w:val="16"/>
                <w:szCs w:val="16"/>
              </w:rPr>
              <w:t xml:space="preserve">2022</w:t>
            </w:r>
          </w:p>
        </w:tc>
        <w:tc>
          <w:tcPr>
            <w:tcW w:type="dxa" w:w="17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$7,794,699</w:t>
            </w:r>
          </w:p>
        </w:tc>
        <w:tc>
          <w:tcPr>
            <w:tcW w:type="dxa" w:w="17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$139,070</w:t>
            </w:r>
          </w:p>
        </w:tc>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$3,379</w:t>
            </w:r>
          </w:p>
        </w:tc>
        <w:tc>
          <w:tcPr>
            <w:tcW w:type="dxa" w:w="17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$142,449</w:t>
            </w:r>
          </w:p>
        </w:tc>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Previous owner (Toro JAX Property II LLC)</w:t>
            </w:r>
          </w:p>
        </w:tc>
      </w:tr>
      <w:tr>
        <w:tc>
          <w:tcPr>
            <w:tcW w:type="dxa" w:w="8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Arial" w:cs="Arial" w:eastAsia="Arial" w:hAnsi="Arial"/>
                <w:b/>
                <w:bCs/>
                <w:color w:val="2E6DA4"/>
                <w:sz w:val="16"/>
                <w:szCs w:val="16"/>
              </w:rPr>
              <w:t xml:space="preserve">2023</w:t>
            </w:r>
          </w:p>
        </w:tc>
        <w:tc>
          <w:tcPr>
            <w:tcW w:type="dxa" w:w="17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$8,574,168</w:t>
            </w:r>
          </w:p>
        </w:tc>
        <w:tc>
          <w:tcPr>
            <w:tcW w:type="dxa" w:w="17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$157,360</w:t>
            </w:r>
          </w:p>
        </w:tc>
        <w:tc>
          <w:tcPr>
            <w:tcW w:type="dxa" w:w="9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$3,379</w:t>
            </w:r>
          </w:p>
        </w:tc>
        <w:tc>
          <w:tcPr>
            <w:tcW w:type="dxa" w:w="17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$160,739</w:t>
            </w:r>
          </w:p>
        </w:tc>
        <w:tc>
          <w:tcPr>
            <w:tcW w:type="dxa" w:w="25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Previous owner — schools basis $9,103,200</w:t>
            </w:r>
          </w:p>
        </w:tc>
      </w:tr>
      <w:tr>
        <w:tc>
          <w:tcPr>
            <w:tcW w:type="dxa" w:w="8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bCs/>
                <w:color w:val="2E6DA4"/>
                <w:sz w:val="16"/>
                <w:szCs w:val="16"/>
              </w:rPr>
              <w:t xml:space="preserve">2024</w:t>
            </w:r>
          </w:p>
        </w:tc>
        <w:tc>
          <w:tcPr>
            <w:tcW w:type="dxa" w:w="17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$8,958,200</w:t>
            </w:r>
          </w:p>
        </w:tc>
        <w:tc>
          <w:tcPr>
            <w:tcW w:type="dxa" w:w="17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$160,038</w:t>
            </w:r>
          </w:p>
        </w:tc>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$3,379</w:t>
            </w:r>
          </w:p>
        </w:tc>
        <w:tc>
          <w:tcPr>
            <w:tcW w:type="dxa" w:w="17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$163,417</w:t>
            </w:r>
          </w:p>
        </w:tc>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Red Raider 45 LLC; schools basis $8,958,200</w:t>
            </w:r>
          </w:p>
        </w:tc>
      </w:tr>
      <w:tr>
        <w:tc>
          <w:tcPr>
            <w:tcW w:type="dxa" w:w="860"/>
            <w:tcBorders>
              <w:top w:val="single" w:color="CCCCCC" w:sz="4"/>
              <w:left w:val="single" w:color="CCCCCC" w:sz="4"/>
              <w:bottom w:val="single" w:color="CCCCCC" w:sz="4"/>
              <w:right w:val="single" w:color="CCCCCC" w:sz="4"/>
            </w:tcBorders>
            <w:shd w:fill="E8F5EE" w:val="clear"/>
            <w:tcMar>
              <w:top w:type="dxa" w:w="70"/>
              <w:left w:type="dxa" w:w="120"/>
              <w:bottom w:type="dxa" w:w="70"/>
              <w:right w:type="dxa" w:w="120"/>
            </w:tcMar>
          </w:tcPr>
          <w:p>
            <w:pPr>
              <w:jc w:val="center"/>
            </w:pPr>
            <w:r>
              <w:rPr>
                <w:rFonts w:ascii="Arial" w:cs="Arial" w:eastAsia="Arial" w:hAnsi="Arial"/>
                <w:b/>
                <w:bCs/>
                <w:color w:val="1E6B3C"/>
                <w:sz w:val="16"/>
                <w:szCs w:val="16"/>
              </w:rPr>
              <w:t xml:space="preserve">2025*</w:t>
            </w:r>
          </w:p>
        </w:tc>
        <w:tc>
          <w:tcPr>
            <w:tcW w:type="dxa" w:w="1700"/>
            <w:tcBorders>
              <w:top w:val="single" w:color="CCCCCC" w:sz="4"/>
              <w:left w:val="single" w:color="CCCCCC" w:sz="4"/>
              <w:bottom w:val="single" w:color="CCCCCC" w:sz="4"/>
              <w:right w:val="single" w:color="CCCCCC" w:sz="4"/>
            </w:tcBorders>
            <w:shd w:fill="E8F5EE" w:val="clear"/>
            <w:tcMar>
              <w:top w:type="dxa" w:w="70"/>
              <w:left w:type="dxa" w:w="120"/>
              <w:bottom w:type="dxa" w:w="70"/>
              <w:right w:type="dxa" w:w="120"/>
            </w:tcMar>
          </w:tcPr>
          <w:p>
            <w:pPr>
              <w:jc w:val="center"/>
            </w:pPr>
            <w:r>
              <w:rPr>
                <w:rFonts w:ascii="Arial" w:cs="Arial" w:eastAsia="Arial" w:hAnsi="Arial"/>
                <w:b w:val="false"/>
                <w:bCs w:val="false"/>
                <w:color w:val="1E6B3C"/>
                <w:sz w:val="16"/>
                <w:szCs w:val="16"/>
              </w:rPr>
              <w:t xml:space="preserve">$9,143,000 → $8,600,000</w:t>
            </w:r>
          </w:p>
        </w:tc>
        <w:tc>
          <w:tcPr>
            <w:tcW w:type="dxa" w:w="1700"/>
            <w:tcBorders>
              <w:top w:val="single" w:color="CCCCCC" w:sz="4"/>
              <w:left w:val="single" w:color="CCCCCC" w:sz="4"/>
              <w:bottom w:val="single" w:color="CCCCCC" w:sz="4"/>
              <w:right w:val="single" w:color="CCCCCC" w:sz="4"/>
            </w:tcBorders>
            <w:shd w:fill="E8F5EE" w:val="clear"/>
            <w:tcMar>
              <w:top w:type="dxa" w:w="70"/>
              <w:left w:type="dxa" w:w="120"/>
              <w:bottom w:type="dxa" w:w="70"/>
              <w:right w:type="dxa" w:w="120"/>
            </w:tcMar>
          </w:tcPr>
          <w:p>
            <w:pPr>
              <w:jc w:val="center"/>
            </w:pPr>
            <w:r>
              <w:rPr>
                <w:rFonts w:ascii="Arial" w:cs="Arial" w:eastAsia="Arial" w:hAnsi="Arial"/>
                <w:b w:val="false"/>
                <w:bCs w:val="false"/>
                <w:color w:val="1E6B3C"/>
                <w:sz w:val="16"/>
                <w:szCs w:val="16"/>
              </w:rPr>
              <w:t xml:space="preserve">$162,208 → $152,574</w:t>
            </w:r>
          </w:p>
        </w:tc>
        <w:tc>
          <w:tcPr>
            <w:tcW w:type="dxa" w:w="900"/>
            <w:tcBorders>
              <w:top w:val="single" w:color="CCCCCC" w:sz="4"/>
              <w:left w:val="single" w:color="CCCCCC" w:sz="4"/>
              <w:bottom w:val="single" w:color="CCCCCC" w:sz="4"/>
              <w:right w:val="single" w:color="CCCCCC" w:sz="4"/>
            </w:tcBorders>
            <w:shd w:fill="E8F5EE" w:val="clear"/>
            <w:tcMar>
              <w:top w:type="dxa" w:w="70"/>
              <w:left w:type="dxa" w:w="120"/>
              <w:bottom w:type="dxa" w:w="70"/>
              <w:right w:type="dxa" w:w="120"/>
            </w:tcMar>
          </w:tcPr>
          <w:p>
            <w:pPr>
              <w:jc w:val="center"/>
            </w:pPr>
            <w:r>
              <w:rPr>
                <w:rFonts w:ascii="Arial" w:cs="Arial" w:eastAsia="Arial" w:hAnsi="Arial"/>
                <w:b w:val="false"/>
                <w:bCs w:val="false"/>
                <w:color w:val="1E6B3C"/>
                <w:sz w:val="16"/>
                <w:szCs w:val="16"/>
              </w:rPr>
              <w:t xml:space="preserve">$3,379</w:t>
            </w:r>
          </w:p>
        </w:tc>
        <w:tc>
          <w:tcPr>
            <w:tcW w:type="dxa" w:w="1700"/>
            <w:tcBorders>
              <w:top w:val="single" w:color="CCCCCC" w:sz="4"/>
              <w:left w:val="single" w:color="CCCCCC" w:sz="4"/>
              <w:bottom w:val="single" w:color="CCCCCC" w:sz="4"/>
              <w:right w:val="single" w:color="CCCCCC" w:sz="4"/>
            </w:tcBorders>
            <w:shd w:fill="E8F5EE" w:val="clear"/>
            <w:tcMar>
              <w:top w:type="dxa" w:w="70"/>
              <w:left w:type="dxa" w:w="120"/>
              <w:bottom w:type="dxa" w:w="70"/>
              <w:right w:type="dxa" w:w="120"/>
            </w:tcMar>
          </w:tcPr>
          <w:p>
            <w:pPr>
              <w:jc w:val="center"/>
            </w:pPr>
            <w:r>
              <w:rPr>
                <w:rFonts w:ascii="Arial" w:cs="Arial" w:eastAsia="Arial" w:hAnsi="Arial"/>
                <w:b w:val="false"/>
                <w:bCs w:val="false"/>
                <w:color w:val="1E6B3C"/>
                <w:sz w:val="16"/>
                <w:szCs w:val="16"/>
              </w:rPr>
              <w:t xml:space="preserve">$165,587 → $155,954</w:t>
            </w:r>
          </w:p>
        </w:tc>
        <w:tc>
          <w:tcPr>
            <w:tcW w:type="dxa" w:w="2500"/>
            <w:tcBorders>
              <w:top w:val="single" w:color="CCCCCC" w:sz="4"/>
              <w:left w:val="single" w:color="CCCCCC" w:sz="4"/>
              <w:bottom w:val="single" w:color="CCCCCC" w:sz="4"/>
              <w:right w:val="single" w:color="CCCCCC" w:sz="4"/>
            </w:tcBorders>
            <w:shd w:fill="E8F5EE" w:val="clear"/>
            <w:tcMar>
              <w:top w:type="dxa" w:w="70"/>
              <w:left w:type="dxa" w:w="120"/>
              <w:bottom w:type="dxa" w:w="70"/>
              <w:right w:type="dxa" w:w="120"/>
            </w:tcMar>
          </w:tcPr>
          <w:p>
            <w:pPr>
              <w:jc w:val="center"/>
            </w:pPr>
            <w:r>
              <w:rPr>
                <w:rFonts w:ascii="Arial" w:cs="Arial" w:eastAsia="Arial" w:hAnsi="Arial"/>
                <w:b w:val="false"/>
                <w:bCs w:val="false"/>
                <w:color w:val="1E6B3C"/>
                <w:sz w:val="16"/>
                <w:szCs w:val="16"/>
              </w:rPr>
              <w:t xml:space="preserve">Red Raider 45 LLC; appeal filed &amp; won</w:t>
            </w:r>
          </w:p>
        </w:tc>
      </w:tr>
      <w:tr>
        <w:tc>
          <w:tcPr>
            <w:tcW w:type="dxa" w:w="8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bCs/>
                <w:color w:val="2E6DA4"/>
                <w:sz w:val="16"/>
                <w:szCs w:val="16"/>
              </w:rPr>
              <w:t xml:space="preserve">2026†</w:t>
            </w:r>
          </w:p>
        </w:tc>
        <w:tc>
          <w:tcPr>
            <w:tcW w:type="dxa" w:w="17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$9,151,600</w:t>
            </w:r>
          </w:p>
        </w:tc>
        <w:tc>
          <w:tcPr>
            <w:tcW w:type="dxa" w:w="17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$162,373</w:t>
            </w:r>
          </w:p>
        </w:tc>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$3,379</w:t>
            </w:r>
          </w:p>
        </w:tc>
        <w:tc>
          <w:tcPr>
            <w:tcW w:type="dxa" w:w="17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$165,754</w:t>
            </w:r>
          </w:p>
        </w:tc>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Projection — appeal pending</w:t>
            </w:r>
          </w:p>
        </w:tc>
      </w:tr>
    </w:tbl>
    <w:p>
      <w:pPr>
        <w:spacing w:after="0" w:before="120"/>
      </w:pPr>
    </w:p>
    <w:p>
      <w:pPr>
        <w:spacing w:after="60" w:before="60"/>
      </w:pPr>
      <w:r>
        <w:rPr>
          <w:rFonts w:ascii="Arial" w:cs="Arial" w:eastAsia="Arial" w:hAnsi="Arial"/>
          <w:color w:val="555555"/>
          <w:sz w:val="18"/>
          <w:szCs w:val="18"/>
        </w:rPr>
        <w:t xml:space="preserve">* 2025 shows two figures: the original bill before the appeal, and the reduced bill after CBRE successfully argued the value down.
† 2026 is a projection based on the current (pre-appeal) assessed value plus a slight CPI increase. A new appeal is likely in progress.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2E6DA4" w:val="clear"/>
          </w:tcPr>
          <w:p/>
        </w:tc>
        <w:tc>
          <w:tcPr>
            <w:tcW w:type="dxa" w:w="9120"/>
            <w:tcBorders>
              <w:top w:val="none" w:color="FFFFFF" w:sz="0"/>
              <w:left w:val="none" w:color="FFFFFF" w:sz="0"/>
              <w:bottom w:val="none" w:color="FFFFFF" w:sz="0"/>
              <w:right w:val="none" w:color="FFFFFF" w:sz="0"/>
            </w:tcBorders>
            <w:shd w:fill="EBF4FB" w:val="clear"/>
            <w:tcMar>
              <w:top w:type="dxa" w:w="100"/>
              <w:left w:type="dxa" w:w="200"/>
              <w:bottom w:type="dxa" w:w="100"/>
              <w:right w:type="dxa" w:w="200"/>
            </w:tcMar>
          </w:tcPr>
          <w:p>
            <w:r>
              <w:rPr>
                <w:rFonts w:ascii="Arial" w:cs="Arial" w:eastAsia="Arial" w:hAnsi="Arial"/>
                <w:color w:val="1B3A5C"/>
                <w:sz w:val="20"/>
                <w:szCs w:val="20"/>
              </w:rPr>
              <w:t xml:space="preserve">Key trend to notice: the assessed value has increased every single year since 2021, growing 29% from $7.09M to $9.15M. This is the primary driver of rising tax bills — not increases in the millage rate, which has stayed stable.</w:t>
            </w:r>
          </w:p>
        </w:tc>
      </w:tr>
    </w:tbl>
    <w:p>
      <w:pPr>
        <w:spacing w:after="0" w:before="120"/>
      </w:pPr>
    </w:p>
    <w:p>
      <w:pPr>
        <w:spacing w:after="60" w:before="180"/>
      </w:pPr>
      <w:r>
        <w:rPr>
          <w:rFonts w:ascii="Arial" w:cs="Arial" w:eastAsia="Arial" w:hAnsi="Arial"/>
          <w:b/>
          <w:bCs/>
          <w:color w:val="1A7A7A"/>
          <w:sz w:val="21"/>
          <w:szCs w:val="21"/>
        </w:rPr>
        <w:t xml:space="preserve">How the Tax Bill Is Divided Among Agencies</w:t>
      </w:r>
    </w:p>
    <w:p>
      <w:pPr>
        <w:spacing w:after="60" w:before="60"/>
      </w:pPr>
      <w:r>
        <w:rPr>
          <w:rFonts w:ascii="Arial" w:cs="Arial" w:eastAsia="Arial" w:hAnsi="Arial"/>
          <w:color w:val="333333"/>
          <w:sz w:val="20"/>
          <w:szCs w:val="20"/>
        </w:rPr>
        <w:t xml:space="preserve">The table below breaks down the 2025 and 2026 ad valorem tax by each taxing authority, showing the impact of the 2025 appeal on each line item: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c>
          <w:tcPr>
            <w:tcW w:type="dxa" w:w="3600"/>
            <w:tcBorders>
              <w:top w:val="single" w:color="2E6DA4" w:sz="6"/>
              <w:left w:val="single" w:color="2E6DA4" w:sz="6"/>
              <w:bottom w:val="single" w:color="2E6DA4" w:sz="6"/>
              <w:right w:val="single" w:color="2E6DA4" w:sz="6"/>
            </w:tcBorders>
            <w:shd w:fill="2E6DA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Taxing Authority</w:t>
            </w:r>
          </w:p>
        </w:tc>
        <w:tc>
          <w:tcPr>
            <w:tcW w:type="dxa" w:w="1920"/>
            <w:tcBorders>
              <w:top w:val="single" w:color="2E6DA4" w:sz="6"/>
              <w:left w:val="single" w:color="2E6DA4" w:sz="6"/>
              <w:bottom w:val="single" w:color="2E6DA4" w:sz="6"/>
              <w:right w:val="single" w:color="2E6DA4" w:sz="6"/>
            </w:tcBorders>
            <w:shd w:fill="2E6DA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2025 (Original)</w:t>
            </w:r>
          </w:p>
        </w:tc>
        <w:tc>
          <w:tcPr>
            <w:tcW w:type="dxa" w:w="1920"/>
            <w:tcBorders>
              <w:top w:val="single" w:color="1A7A7A" w:sz="6"/>
              <w:left w:val="single" w:color="1A7A7A" w:sz="6"/>
              <w:bottom w:val="single" w:color="1A7A7A" w:sz="6"/>
              <w:right w:val="single" w:color="1A7A7A" w:sz="6"/>
            </w:tcBorders>
            <w:shd w:fill="1A7A7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2025 (After Appeal)</w:t>
            </w:r>
          </w:p>
        </w:tc>
        <w:tc>
          <w:tcPr>
            <w:tcW w:type="dxa" w:w="192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2026 (Projected)</w:t>
            </w:r>
          </w:p>
        </w:tc>
      </w:tr>
      <w:tr>
        <w:tc>
          <w:tcPr>
            <w:tcW w:type="dxa" w:w="36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City of Jacksonville</w:t>
            </w:r>
          </w:p>
        </w:tc>
        <w:tc>
          <w:tcPr>
            <w:tcW w:type="dxa" w:w="192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right"/>
            </w:pPr>
            <w:r>
              <w:rPr>
                <w:rFonts w:ascii="Arial" w:cs="Arial" w:eastAsia="Arial" w:hAnsi="Arial"/>
                <w:b w:val="false"/>
                <w:bCs w:val="false"/>
                <w:color w:val="333333"/>
                <w:sz w:val="17"/>
                <w:szCs w:val="17"/>
              </w:rPr>
              <w:t xml:space="preserve">$102,328</w:t>
            </w:r>
          </w:p>
        </w:tc>
        <w:tc>
          <w:tcPr>
            <w:tcW w:type="dxa" w:w="192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right"/>
            </w:pPr>
            <w:r>
              <w:rPr>
                <w:rFonts w:ascii="Arial" w:cs="Arial" w:eastAsia="Arial" w:hAnsi="Arial"/>
                <w:b w:val="false"/>
                <w:bCs w:val="false"/>
                <w:color w:val="333333"/>
                <w:sz w:val="17"/>
                <w:szCs w:val="17"/>
              </w:rPr>
              <w:t xml:space="preserve">$96,213</w:t>
            </w:r>
          </w:p>
        </w:tc>
        <w:tc>
          <w:tcPr>
            <w:tcW w:type="dxa" w:w="192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right"/>
            </w:pPr>
            <w:r>
              <w:rPr>
                <w:rFonts w:ascii="Arial" w:cs="Arial" w:eastAsia="Arial" w:hAnsi="Arial"/>
                <w:b w:val="false"/>
                <w:bCs w:val="false"/>
                <w:color w:val="333333"/>
                <w:sz w:val="17"/>
                <w:szCs w:val="17"/>
              </w:rPr>
              <w:t xml:space="preserve">$102,437</w:t>
            </w:r>
          </w:p>
        </w:tc>
      </w:tr>
      <w:tr>
        <w:tc>
          <w:tcPr>
            <w:tcW w:type="dxa" w:w="3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Schools — Local</w:t>
            </w:r>
          </w:p>
        </w:tc>
        <w:tc>
          <w:tcPr>
            <w:tcW w:type="dxa" w:w="19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right"/>
            </w:pPr>
            <w:r>
              <w:rPr>
                <w:rFonts w:ascii="Arial" w:cs="Arial" w:eastAsia="Arial" w:hAnsi="Arial"/>
                <w:b w:val="false"/>
                <w:bCs w:val="false"/>
                <w:color w:val="333333"/>
                <w:sz w:val="17"/>
                <w:szCs w:val="17"/>
              </w:rPr>
              <w:t xml:space="preserve">$28,298</w:t>
            </w:r>
          </w:p>
        </w:tc>
        <w:tc>
          <w:tcPr>
            <w:tcW w:type="dxa" w:w="19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right"/>
            </w:pPr>
            <w:r>
              <w:rPr>
                <w:rFonts w:ascii="Arial" w:cs="Arial" w:eastAsia="Arial" w:hAnsi="Arial"/>
                <w:b w:val="false"/>
                <w:bCs w:val="false"/>
                <w:color w:val="333333"/>
                <w:sz w:val="17"/>
                <w:szCs w:val="17"/>
              </w:rPr>
              <w:t xml:space="preserve">$26,607</w:t>
            </w:r>
          </w:p>
        </w:tc>
        <w:tc>
          <w:tcPr>
            <w:tcW w:type="dxa" w:w="19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right"/>
            </w:pPr>
            <w:r>
              <w:rPr>
                <w:rFonts w:ascii="Arial" w:cs="Arial" w:eastAsia="Arial" w:hAnsi="Arial"/>
                <w:b w:val="false"/>
                <w:bCs w:val="false"/>
                <w:color w:val="333333"/>
                <w:sz w:val="17"/>
                <w:szCs w:val="17"/>
              </w:rPr>
              <w:t xml:space="preserve">$28,324</w:t>
            </w:r>
          </w:p>
        </w:tc>
      </w:tr>
      <w:tr>
        <w:tc>
          <w:tcPr>
            <w:tcW w:type="dxa" w:w="36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SCH Capital Outlay</w:t>
            </w:r>
          </w:p>
        </w:tc>
        <w:tc>
          <w:tcPr>
            <w:tcW w:type="dxa" w:w="192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right"/>
            </w:pPr>
            <w:r>
              <w:rPr>
                <w:rFonts w:ascii="Arial" w:cs="Arial" w:eastAsia="Arial" w:hAnsi="Arial"/>
                <w:b w:val="false"/>
                <w:bCs w:val="false"/>
                <w:color w:val="333333"/>
                <w:sz w:val="17"/>
                <w:szCs w:val="17"/>
              </w:rPr>
              <w:t xml:space="preserve">$13,715</w:t>
            </w:r>
          </w:p>
        </w:tc>
        <w:tc>
          <w:tcPr>
            <w:tcW w:type="dxa" w:w="192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right"/>
            </w:pPr>
            <w:r>
              <w:rPr>
                <w:rFonts w:ascii="Arial" w:cs="Arial" w:eastAsia="Arial" w:hAnsi="Arial"/>
                <w:b w:val="false"/>
                <w:bCs w:val="false"/>
                <w:color w:val="333333"/>
                <w:sz w:val="17"/>
                <w:szCs w:val="17"/>
              </w:rPr>
              <w:t xml:space="preserve">$12,900</w:t>
            </w:r>
          </w:p>
        </w:tc>
        <w:tc>
          <w:tcPr>
            <w:tcW w:type="dxa" w:w="192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right"/>
            </w:pPr>
            <w:r>
              <w:rPr>
                <w:rFonts w:ascii="Arial" w:cs="Arial" w:eastAsia="Arial" w:hAnsi="Arial"/>
                <w:b w:val="false"/>
                <w:bCs w:val="false"/>
                <w:color w:val="333333"/>
                <w:sz w:val="17"/>
                <w:szCs w:val="17"/>
              </w:rPr>
              <w:t xml:space="preserve">$13,727</w:t>
            </w:r>
          </w:p>
        </w:tc>
      </w:tr>
      <w:tr>
        <w:tc>
          <w:tcPr>
            <w:tcW w:type="dxa" w:w="3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Schools-VTR Approved</w:t>
            </w:r>
          </w:p>
        </w:tc>
        <w:tc>
          <w:tcPr>
            <w:tcW w:type="dxa" w:w="19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right"/>
            </w:pPr>
            <w:r>
              <w:rPr>
                <w:rFonts w:ascii="Arial" w:cs="Arial" w:eastAsia="Arial" w:hAnsi="Arial"/>
                <w:b w:val="false"/>
                <w:bCs w:val="false"/>
                <w:color w:val="333333"/>
                <w:sz w:val="17"/>
                <w:szCs w:val="17"/>
              </w:rPr>
              <w:t xml:space="preserve">$9,143</w:t>
            </w:r>
          </w:p>
        </w:tc>
        <w:tc>
          <w:tcPr>
            <w:tcW w:type="dxa" w:w="19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right"/>
            </w:pPr>
            <w:r>
              <w:rPr>
                <w:rFonts w:ascii="Arial" w:cs="Arial" w:eastAsia="Arial" w:hAnsi="Arial"/>
                <w:b w:val="false"/>
                <w:bCs w:val="false"/>
                <w:color w:val="333333"/>
                <w:sz w:val="17"/>
                <w:szCs w:val="17"/>
              </w:rPr>
              <w:t xml:space="preserve">$8,600</w:t>
            </w:r>
          </w:p>
        </w:tc>
        <w:tc>
          <w:tcPr>
            <w:tcW w:type="dxa" w:w="19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right"/>
            </w:pPr>
            <w:r>
              <w:rPr>
                <w:rFonts w:ascii="Arial" w:cs="Arial" w:eastAsia="Arial" w:hAnsi="Arial"/>
                <w:b w:val="false"/>
                <w:bCs w:val="false"/>
                <w:color w:val="333333"/>
                <w:sz w:val="17"/>
                <w:szCs w:val="17"/>
              </w:rPr>
              <w:t xml:space="preserve">$9,152</w:t>
            </w:r>
          </w:p>
        </w:tc>
      </w:tr>
      <w:tr>
        <w:tc>
          <w:tcPr>
            <w:tcW w:type="dxa" w:w="36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SCH Discretionary</w:t>
            </w:r>
          </w:p>
        </w:tc>
        <w:tc>
          <w:tcPr>
            <w:tcW w:type="dxa" w:w="192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right"/>
            </w:pPr>
            <w:r>
              <w:rPr>
                <w:rFonts w:ascii="Arial" w:cs="Arial" w:eastAsia="Arial" w:hAnsi="Arial"/>
                <w:b w:val="false"/>
                <w:bCs w:val="false"/>
                <w:color w:val="333333"/>
                <w:sz w:val="17"/>
                <w:szCs w:val="17"/>
              </w:rPr>
              <w:t xml:space="preserve">$6,839</w:t>
            </w:r>
          </w:p>
        </w:tc>
        <w:tc>
          <w:tcPr>
            <w:tcW w:type="dxa" w:w="192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right"/>
            </w:pPr>
            <w:r>
              <w:rPr>
                <w:rFonts w:ascii="Arial" w:cs="Arial" w:eastAsia="Arial" w:hAnsi="Arial"/>
                <w:b w:val="false"/>
                <w:bCs w:val="false"/>
                <w:color w:val="333333"/>
                <w:sz w:val="17"/>
                <w:szCs w:val="17"/>
              </w:rPr>
              <w:t xml:space="preserve">$6,433</w:t>
            </w:r>
          </w:p>
        </w:tc>
        <w:tc>
          <w:tcPr>
            <w:tcW w:type="dxa" w:w="192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right"/>
            </w:pPr>
            <w:r>
              <w:rPr>
                <w:rFonts w:ascii="Arial" w:cs="Arial" w:eastAsia="Arial" w:hAnsi="Arial"/>
                <w:b w:val="false"/>
                <w:bCs w:val="false"/>
                <w:color w:val="333333"/>
                <w:sz w:val="17"/>
                <w:szCs w:val="17"/>
              </w:rPr>
              <w:t xml:space="preserve">$6,845</w:t>
            </w:r>
          </w:p>
        </w:tc>
      </w:tr>
      <w:tr>
        <w:tc>
          <w:tcPr>
            <w:tcW w:type="dxa" w:w="3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St. Johns River WTR Mgmt</w:t>
            </w:r>
          </w:p>
        </w:tc>
        <w:tc>
          <w:tcPr>
            <w:tcW w:type="dxa" w:w="19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right"/>
            </w:pPr>
            <w:r>
              <w:rPr>
                <w:rFonts w:ascii="Arial" w:cs="Arial" w:eastAsia="Arial" w:hAnsi="Arial"/>
                <w:b w:val="false"/>
                <w:bCs w:val="false"/>
                <w:color w:val="333333"/>
                <w:sz w:val="17"/>
                <w:szCs w:val="17"/>
              </w:rPr>
              <w:t xml:space="preserve">$1,639</w:t>
            </w:r>
          </w:p>
        </w:tc>
        <w:tc>
          <w:tcPr>
            <w:tcW w:type="dxa" w:w="19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right"/>
            </w:pPr>
            <w:r>
              <w:rPr>
                <w:rFonts w:ascii="Arial" w:cs="Arial" w:eastAsia="Arial" w:hAnsi="Arial"/>
                <w:b w:val="false"/>
                <w:bCs w:val="false"/>
                <w:color w:val="333333"/>
                <w:sz w:val="17"/>
                <w:szCs w:val="17"/>
              </w:rPr>
              <w:t xml:space="preserve">$1,542</w:t>
            </w:r>
          </w:p>
        </w:tc>
        <w:tc>
          <w:tcPr>
            <w:tcW w:type="dxa" w:w="19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right"/>
            </w:pPr>
            <w:r>
              <w:rPr>
                <w:rFonts w:ascii="Arial" w:cs="Arial" w:eastAsia="Arial" w:hAnsi="Arial"/>
                <w:b w:val="false"/>
                <w:bCs w:val="false"/>
                <w:color w:val="333333"/>
                <w:sz w:val="17"/>
                <w:szCs w:val="17"/>
              </w:rPr>
              <w:t xml:space="preserve">$1,641</w:t>
            </w:r>
          </w:p>
        </w:tc>
      </w:tr>
      <w:tr>
        <w:tc>
          <w:tcPr>
            <w:tcW w:type="dxa" w:w="36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FL Inland Navigation Dist.</w:t>
            </w:r>
          </w:p>
        </w:tc>
        <w:tc>
          <w:tcPr>
            <w:tcW w:type="dxa" w:w="192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right"/>
            </w:pPr>
            <w:r>
              <w:rPr>
                <w:rFonts w:ascii="Arial" w:cs="Arial" w:eastAsia="Arial" w:hAnsi="Arial"/>
                <w:b w:val="false"/>
                <w:bCs w:val="false"/>
                <w:color w:val="333333"/>
                <w:sz w:val="17"/>
                <w:szCs w:val="17"/>
              </w:rPr>
              <w:t xml:space="preserve">$247</w:t>
            </w:r>
          </w:p>
        </w:tc>
        <w:tc>
          <w:tcPr>
            <w:tcW w:type="dxa" w:w="192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right"/>
            </w:pPr>
            <w:r>
              <w:rPr>
                <w:rFonts w:ascii="Arial" w:cs="Arial" w:eastAsia="Arial" w:hAnsi="Arial"/>
                <w:b w:val="false"/>
                <w:bCs w:val="false"/>
                <w:color w:val="333333"/>
                <w:sz w:val="17"/>
                <w:szCs w:val="17"/>
              </w:rPr>
              <w:t xml:space="preserve">$232</w:t>
            </w:r>
          </w:p>
        </w:tc>
        <w:tc>
          <w:tcPr>
            <w:tcW w:type="dxa" w:w="192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right"/>
            </w:pPr>
            <w:r>
              <w:rPr>
                <w:rFonts w:ascii="Arial" w:cs="Arial" w:eastAsia="Arial" w:hAnsi="Arial"/>
                <w:b w:val="false"/>
                <w:bCs w:val="false"/>
                <w:color w:val="333333"/>
                <w:sz w:val="17"/>
                <w:szCs w:val="17"/>
              </w:rPr>
              <w:t xml:space="preserve">$247</w:t>
            </w:r>
          </w:p>
        </w:tc>
      </w:tr>
      <w:tr>
        <w:tc>
          <w:tcPr>
            <w:tcW w:type="dxa" w:w="3600"/>
            <w:tcBorders>
              <w:top w:val="single" w:color="CCCCCC" w:sz="4"/>
              <w:left w:val="single" w:color="CCCCCC" w:sz="4"/>
              <w:bottom w:val="single" w:color="CCCCCC" w:sz="4"/>
              <w:right w:val="single" w:color="CCCCCC" w:sz="4"/>
            </w:tcBorders>
            <w:shd w:fill="D6E4F0" w:val="clear"/>
            <w:tcMar>
              <w:top w:type="dxa" w:w="70"/>
              <w:left w:type="dxa" w:w="120"/>
              <w:bottom w:type="dxa" w:w="70"/>
              <w:right w:type="dxa" w:w="120"/>
            </w:tcMar>
          </w:tcPr>
          <w:p>
            <w:pPr>
              <w:jc w:val="left"/>
            </w:pPr>
            <w:r>
              <w:rPr>
                <w:rFonts w:ascii="Arial" w:cs="Arial" w:eastAsia="Arial" w:hAnsi="Arial"/>
                <w:b/>
                <w:bCs/>
                <w:color w:val="1B3A5C"/>
                <w:sz w:val="19"/>
                <w:szCs w:val="19"/>
              </w:rPr>
              <w:t xml:space="preserve">AD VALOREM TOTAL</w:t>
            </w:r>
          </w:p>
        </w:tc>
        <w:tc>
          <w:tcPr>
            <w:tcW w:type="dxa" w:w="1920"/>
            <w:tcBorders>
              <w:top w:val="single" w:color="CCCCCC" w:sz="4"/>
              <w:left w:val="single" w:color="CCCCCC" w:sz="4"/>
              <w:bottom w:val="single" w:color="CCCCCC" w:sz="4"/>
              <w:right w:val="single" w:color="CCCCCC" w:sz="4"/>
            </w:tcBorders>
            <w:shd w:fill="D6E4F0" w:val="clear"/>
            <w:tcMar>
              <w:top w:type="dxa" w:w="70"/>
              <w:left w:type="dxa" w:w="120"/>
              <w:bottom w:type="dxa" w:w="70"/>
              <w:right w:type="dxa" w:w="120"/>
            </w:tcMar>
          </w:tcPr>
          <w:p>
            <w:pPr>
              <w:jc w:val="right"/>
            </w:pPr>
            <w:r>
              <w:rPr>
                <w:rFonts w:ascii="Arial" w:cs="Arial" w:eastAsia="Arial" w:hAnsi="Arial"/>
                <w:b/>
                <w:bCs/>
                <w:color w:val="1B3A5C"/>
                <w:sz w:val="19"/>
                <w:szCs w:val="19"/>
              </w:rPr>
              <w:t xml:space="preserve">$162,208</w:t>
            </w:r>
          </w:p>
        </w:tc>
        <w:tc>
          <w:tcPr>
            <w:tcW w:type="dxa" w:w="1920"/>
            <w:tcBorders>
              <w:top w:val="single" w:color="CCCCCC" w:sz="4"/>
              <w:left w:val="single" w:color="CCCCCC" w:sz="4"/>
              <w:bottom w:val="single" w:color="CCCCCC" w:sz="4"/>
              <w:right w:val="single" w:color="CCCCCC" w:sz="4"/>
            </w:tcBorders>
            <w:shd w:fill="D6E4F0" w:val="clear"/>
            <w:tcMar>
              <w:top w:type="dxa" w:w="70"/>
              <w:left w:type="dxa" w:w="120"/>
              <w:bottom w:type="dxa" w:w="70"/>
              <w:right w:type="dxa" w:w="120"/>
            </w:tcMar>
          </w:tcPr>
          <w:p>
            <w:pPr>
              <w:jc w:val="right"/>
            </w:pPr>
            <w:r>
              <w:rPr>
                <w:rFonts w:ascii="Arial" w:cs="Arial" w:eastAsia="Arial" w:hAnsi="Arial"/>
                <w:b/>
                <w:bCs/>
                <w:color w:val="1B3A5C"/>
                <w:sz w:val="19"/>
                <w:szCs w:val="19"/>
              </w:rPr>
              <w:t xml:space="preserve">$152,574</w:t>
            </w:r>
          </w:p>
        </w:tc>
        <w:tc>
          <w:tcPr>
            <w:tcW w:type="dxa" w:w="1920"/>
            <w:tcBorders>
              <w:top w:val="single" w:color="CCCCCC" w:sz="4"/>
              <w:left w:val="single" w:color="CCCCCC" w:sz="4"/>
              <w:bottom w:val="single" w:color="CCCCCC" w:sz="4"/>
              <w:right w:val="single" w:color="CCCCCC" w:sz="4"/>
            </w:tcBorders>
            <w:shd w:fill="D6E4F0" w:val="clear"/>
            <w:tcMar>
              <w:top w:type="dxa" w:w="70"/>
              <w:left w:type="dxa" w:w="120"/>
              <w:bottom w:type="dxa" w:w="70"/>
              <w:right w:type="dxa" w:w="120"/>
            </w:tcMar>
          </w:tcPr>
          <w:p>
            <w:pPr>
              <w:jc w:val="right"/>
            </w:pPr>
            <w:r>
              <w:rPr>
                <w:rFonts w:ascii="Arial" w:cs="Arial" w:eastAsia="Arial" w:hAnsi="Arial"/>
                <w:b/>
                <w:bCs/>
                <w:color w:val="1B3A5C"/>
                <w:sz w:val="19"/>
                <w:szCs w:val="19"/>
              </w:rPr>
              <w:t xml:space="preserve">$162,373</w:t>
            </w:r>
          </w:p>
        </w:tc>
      </w:tr>
    </w:tbl>
    <w:p>
      <w:pPr>
        <w:spacing w:after="0" w:before="120"/>
      </w:pPr>
    </w:p>
    <w:p>
      <w:pPr>
        <w:spacing w:after="60" w:before="60"/>
      </w:pPr>
      <w:r>
        <w:rPr>
          <w:rFonts w:ascii="Arial" w:cs="Arial" w:eastAsia="Arial" w:hAnsi="Arial"/>
          <w:color w:val="333333"/>
          <w:sz w:val="20"/>
          <w:szCs w:val="20"/>
        </w:rPr>
        <w:t xml:space="preserve">Notice that every line item dropped proportionally after the appeal — because all of them are calculated from the same assessed value. A lower assessed value means every agency collects less.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6B3C" w:val="clear"/>
            <w:tcMar>
              <w:top w:type="dxa" w:w="140"/>
              <w:left w:type="dxa" w:w="300"/>
              <w:bottom w:type="dxa" w:w="140"/>
              <w:right w:type="dxa" w:w="300"/>
            </w:tcMar>
          </w:tcPr>
          <w:p>
            <w:r>
              <w:rPr>
                <w:rFonts w:ascii="Arial" w:cs="Arial" w:eastAsia="Arial" w:hAnsi="Arial"/>
                <w:b/>
                <w:bCs/>
                <w:caps/>
                <w:color w:val="FFFFFF"/>
                <w:sz w:val="26"/>
                <w:szCs w:val="26"/>
              </w:rPr>
              <w:t xml:space="preserve">Section 4 — The 2025 Tax Appeal Victory</w:t>
            </w:r>
          </w:p>
        </w:tc>
      </w:tr>
    </w:tbl>
    <w:p>
      <w:pPr>
        <w:spacing w:after="0" w:before="120"/>
      </w:pPr>
    </w:p>
    <w:p>
      <w:pPr>
        <w:spacing w:after="60" w:before="80"/>
      </w:pPr>
      <w:r>
        <w:rPr>
          <w:rFonts w:ascii="Arial" w:cs="Arial" w:eastAsia="Arial" w:hAnsi="Arial"/>
          <w:color w:val="333333"/>
          <w:sz w:val="20"/>
          <w:szCs w:val="20"/>
        </w:rPr>
        <w:t xml:space="preserve">In 2025, Red Raider 45 LLC hired CBRE Valuation &amp; Advisory Services to challenge Duval County's assessment of the property. This section documents exactly what happened, what was submitted, and what was gained.</w:t>
      </w:r>
    </w:p>
    <w:p>
      <w:pPr>
        <w:spacing w:after="0" w:before="80"/>
      </w:pPr>
    </w:p>
    <w:p>
      <w:pPr>
        <w:spacing w:after="60" w:before="180"/>
      </w:pPr>
      <w:r>
        <w:rPr>
          <w:rFonts w:ascii="Arial" w:cs="Arial" w:eastAsia="Arial" w:hAnsi="Arial"/>
          <w:b/>
          <w:bCs/>
          <w:color w:val="1E6B3C"/>
          <w:sz w:val="21"/>
          <w:szCs w:val="21"/>
        </w:rPr>
        <w:t xml:space="preserve">What Was Filed and When</w:t>
      </w:r>
    </w:p>
    <w:p>
      <w:pPr>
        <w:spacing w:after="60" w:before="60"/>
      </w:pPr>
      <w:r>
        <w:rPr>
          <w:rFonts w:ascii="Arial" w:cs="Arial" w:eastAsia="Arial" w:hAnsi="Arial"/>
          <w:color w:val="333333"/>
          <w:sz w:val="20"/>
          <w:szCs w:val="20"/>
        </w:rPr>
        <w:t xml:space="preserve">On September 4, 2025, the following documents were submitted to support the appeal. These are the evidence a property owner provides to prove that the county's assessed value is too high:</w:t>
      </w:r>
    </w:p>
    <w:p>
      <w:pPr>
        <w:pStyle w:val="ListParagraph"/>
        <w:numPr>
          <w:ilvl w:val="0"/>
          <w:numId w:val="1"/>
        </w:numPr>
        <w:spacing w:after="40" w:before="40"/>
      </w:pPr>
      <w:r>
        <w:rPr>
          <w:rFonts w:ascii="Arial" w:cs="Arial" w:eastAsia="Arial" w:hAnsi="Arial"/>
          <w:color w:val="333333"/>
          <w:sz w:val="20"/>
          <w:szCs w:val="20"/>
        </w:rPr>
        <w:t xml:space="preserve">DR-486 Form — The official petition form filed with the Value Adjustment Board.</w:t>
      </w:r>
    </w:p>
    <w:p>
      <w:pPr>
        <w:pStyle w:val="ListParagraph"/>
        <w:numPr>
          <w:ilvl w:val="0"/>
          <w:numId w:val="1"/>
        </w:numPr>
        <w:spacing w:after="40" w:before="40"/>
      </w:pPr>
      <w:r>
        <w:rPr>
          <w:rFonts w:ascii="Arial" w:cs="Arial" w:eastAsia="Arial" w:hAnsi="Arial"/>
          <w:color w:val="333333"/>
          <w:sz w:val="20"/>
          <w:szCs w:val="20"/>
        </w:rPr>
        <w:t xml:space="preserve">Occupancy Summary — Shows how full (or empty) the apartments were, indicating demand and therefore value.</w:t>
      </w:r>
    </w:p>
    <w:p>
      <w:pPr>
        <w:pStyle w:val="ListParagraph"/>
        <w:numPr>
          <w:ilvl w:val="0"/>
          <w:numId w:val="1"/>
        </w:numPr>
        <w:spacing w:after="40" w:before="40"/>
      </w:pPr>
      <w:r>
        <w:rPr>
          <w:rFonts w:ascii="Arial" w:cs="Arial" w:eastAsia="Arial" w:hAnsi="Arial"/>
          <w:color w:val="333333"/>
          <w:sz w:val="20"/>
          <w:szCs w:val="20"/>
        </w:rPr>
        <w:t xml:space="preserve">Rent Roll — Lists every unit, its rent, and occupancy status. Demonstrates actual revenue the property generates.</w:t>
      </w:r>
    </w:p>
    <w:p>
      <w:pPr>
        <w:pStyle w:val="ListParagraph"/>
        <w:numPr>
          <w:ilvl w:val="0"/>
          <w:numId w:val="1"/>
        </w:numPr>
        <w:spacing w:after="40" w:before="40"/>
      </w:pPr>
      <w:r>
        <w:rPr>
          <w:rFonts w:ascii="Arial" w:cs="Arial" w:eastAsia="Arial" w:hAnsi="Arial"/>
          <w:color w:val="333333"/>
          <w:sz w:val="20"/>
          <w:szCs w:val="20"/>
        </w:rPr>
        <w:t xml:space="preserve">Trailing T-12 Income Statement — 12 months of actual income and expense data. This is the financial truth of the property.</w:t>
      </w:r>
    </w:p>
    <w:p>
      <w:pPr>
        <w:pStyle w:val="ListParagraph"/>
        <w:numPr>
          <w:ilvl w:val="0"/>
          <w:numId w:val="1"/>
        </w:numPr>
        <w:spacing w:after="40" w:before="40"/>
      </w:pPr>
      <w:r>
        <w:rPr>
          <w:rFonts w:ascii="Arial" w:cs="Arial" w:eastAsia="Arial" w:hAnsi="Arial"/>
          <w:color w:val="333333"/>
          <w:sz w:val="20"/>
          <w:szCs w:val="20"/>
        </w:rPr>
        <w:t xml:space="preserve">Open Work Orders — Shows pending repairs or issues that reduce the property's value and condition.</w:t>
      </w:r>
    </w:p>
    <w:p>
      <w:pPr>
        <w:pStyle w:val="ListParagraph"/>
        <w:numPr>
          <w:ilvl w:val="0"/>
          <w:numId w:val="1"/>
        </w:numPr>
        <w:spacing w:after="40" w:before="40"/>
      </w:pPr>
      <w:r>
        <w:rPr>
          <w:rFonts w:ascii="Arial" w:cs="Arial" w:eastAsia="Arial" w:hAnsi="Arial"/>
          <w:color w:val="333333"/>
          <w:sz w:val="20"/>
          <w:szCs w:val="20"/>
        </w:rPr>
        <w:t xml:space="preserve">Unit Vacancy Detail — Granular breakdown of which specific units are vacant and for how long.</w:t>
      </w:r>
    </w:p>
    <w:p>
      <w:pPr>
        <w:spacing w:after="0" w:before="120"/>
      </w:pPr>
    </w:p>
    <w:p>
      <w:pPr>
        <w:spacing w:after="60" w:before="180"/>
      </w:pPr>
      <w:r>
        <w:rPr>
          <w:rFonts w:ascii="Arial" w:cs="Arial" w:eastAsia="Arial" w:hAnsi="Arial"/>
          <w:b/>
          <w:bCs/>
          <w:color w:val="1E6B3C"/>
          <w:sz w:val="21"/>
          <w:szCs w:val="21"/>
        </w:rPr>
        <w:t xml:space="preserve">The Results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860"/>
        <w:gridCol w:w="1860"/>
        <w:gridCol w:w="1560"/>
        <w:gridCol w:w="1560"/>
      </w:tblGrid>
      <w:tr>
        <w:tc>
          <w:tcPr>
            <w:tcW w:type="dxa" w:w="2520"/>
            <w:tcBorders>
              <w:top w:val="single" w:color="2E6DA4" w:sz="6"/>
              <w:left w:val="single" w:color="2E6DA4" w:sz="6"/>
              <w:bottom w:val="single" w:color="2E6DA4" w:sz="6"/>
              <w:right w:val="single" w:color="2E6DA4" w:sz="6"/>
            </w:tcBorders>
            <w:shd w:fill="2E6DA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w:r>
          </w:p>
        </w:tc>
        <w:tc>
          <w:tcPr>
            <w:tcW w:type="dxa" w:w="1860"/>
            <w:tcBorders>
              <w:top w:val="single" w:color="2E6DA4" w:sz="6"/>
              <w:left w:val="single" w:color="2E6DA4" w:sz="6"/>
              <w:bottom w:val="single" w:color="2E6DA4" w:sz="6"/>
              <w:right w:val="single" w:color="2E6DA4" w:sz="6"/>
            </w:tcBorders>
            <w:shd w:fill="2E6DA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Pre-Appeal (Original)</w:t>
            </w:r>
          </w:p>
        </w:tc>
        <w:tc>
          <w:tcPr>
            <w:tcW w:type="dxa" w:w="1860"/>
            <w:tcBorders>
              <w:top w:val="single" w:color="1A7A7A" w:sz="6"/>
              <w:left w:val="single" w:color="1A7A7A" w:sz="6"/>
              <w:bottom w:val="single" w:color="1A7A7A" w:sz="6"/>
              <w:right w:val="single" w:color="1A7A7A" w:sz="6"/>
            </w:tcBorders>
            <w:shd w:fill="1A7A7A"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Post-Appeal (Final)</w:t>
            </w:r>
          </w:p>
        </w:tc>
        <w:tc>
          <w:tcPr>
            <w:tcW w:type="dxa" w:w="1560"/>
            <w:tcBorders>
              <w:top w:val="single" w:color="1E6B3C" w:sz="6"/>
              <w:left w:val="single" w:color="1E6B3C" w:sz="6"/>
              <w:bottom w:val="single" w:color="1E6B3C" w:sz="6"/>
              <w:right w:val="single" w:color="1E6B3C" w:sz="6"/>
            </w:tcBorders>
            <w:shd w:fill="1E6B3C"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Difference</w:t>
            </w:r>
          </w:p>
        </w:tc>
        <w:tc>
          <w:tcPr>
            <w:tcW w:type="dxa" w:w="1560"/>
            <w:tcBorders>
              <w:top w:val="single" w:color="1E6B3C" w:sz="6"/>
              <w:left w:val="single" w:color="1E6B3C" w:sz="6"/>
              <w:bottom w:val="single" w:color="1E6B3C" w:sz="6"/>
              <w:right w:val="single" w:color="1E6B3C" w:sz="6"/>
            </w:tcBorders>
            <w:shd w:fill="1E6B3C"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Change</w:t>
            </w:r>
          </w:p>
        </w:tc>
      </w:tr>
      <w:tr>
        <w:tc>
          <w:tcPr>
            <w:tcW w:type="dxa" w:w="252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Arial" w:cs="Arial" w:eastAsia="Arial" w:hAnsi="Arial"/>
                <w:b w:val="false"/>
                <w:bCs w:val="false"/>
                <w:color w:val="1B3A5C"/>
                <w:sz w:val="17"/>
                <w:szCs w:val="17"/>
              </w:rPr>
              <w:t xml:space="preserve">Assessed Value</w:t>
            </w:r>
          </w:p>
        </w:tc>
        <w:tc>
          <w:tcPr>
            <w:tcW w:type="dxa" w:w="18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right"/>
            </w:pPr>
            <w:r>
              <w:rPr>
                <w:rFonts w:ascii="Arial" w:cs="Arial" w:eastAsia="Arial" w:hAnsi="Arial"/>
                <w:b w:val="false"/>
                <w:bCs w:val="false"/>
                <w:color w:val="333333"/>
                <w:sz w:val="17"/>
                <w:szCs w:val="17"/>
              </w:rPr>
              <w:t xml:space="preserve">$9,143,000</w:t>
            </w:r>
          </w:p>
        </w:tc>
        <w:tc>
          <w:tcPr>
            <w:tcW w:type="dxa" w:w="18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right"/>
            </w:pPr>
            <w:r>
              <w:rPr>
                <w:rFonts w:ascii="Arial" w:cs="Arial" w:eastAsia="Arial" w:hAnsi="Arial"/>
                <w:b w:val="false"/>
                <w:bCs w:val="false"/>
                <w:color w:val="333333"/>
                <w:sz w:val="17"/>
                <w:szCs w:val="17"/>
              </w:rPr>
              <w:t xml:space="preserve">$8,600,000</w:t>
            </w:r>
          </w:p>
        </w:tc>
        <w:tc>
          <w:tcPr>
            <w:tcW w:type="dxa" w:w="15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right"/>
            </w:pPr>
            <w:r>
              <w:rPr>
                <w:rFonts w:ascii="Arial" w:cs="Arial" w:eastAsia="Arial" w:hAnsi="Arial"/>
                <w:b w:val="false"/>
                <w:bCs w:val="false"/>
                <w:color w:val="1E6B3C"/>
                <w:sz w:val="17"/>
                <w:szCs w:val="17"/>
              </w:rPr>
              <w:t xml:space="preserve">–$543,000</w:t>
            </w:r>
          </w:p>
        </w:tc>
        <w:tc>
          <w:tcPr>
            <w:tcW w:type="dxa" w:w="15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Arial" w:cs="Arial" w:eastAsia="Arial" w:hAnsi="Arial"/>
                <w:b w:val="false"/>
                <w:bCs w:val="false"/>
                <w:color w:val="1E6B3C"/>
                <w:sz w:val="17"/>
                <w:szCs w:val="17"/>
              </w:rPr>
              <w:t xml:space="preserve">–5.94%</w:t>
            </w:r>
          </w:p>
        </w:tc>
      </w:tr>
      <w:tr>
        <w:tc>
          <w:tcPr>
            <w:tcW w:type="dxa" w:w="25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b w:val="false"/>
                <w:bCs w:val="false"/>
                <w:color w:val="1B3A5C"/>
                <w:sz w:val="17"/>
                <w:szCs w:val="17"/>
              </w:rPr>
              <w:t xml:space="preserve">Ad Valorem Tax</w:t>
            </w:r>
          </w:p>
        </w:tc>
        <w:tc>
          <w:tcPr>
            <w:tcW w:type="dxa" w:w="18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right"/>
            </w:pPr>
            <w:r>
              <w:rPr>
                <w:rFonts w:ascii="Arial" w:cs="Arial" w:eastAsia="Arial" w:hAnsi="Arial"/>
                <w:b w:val="false"/>
                <w:bCs w:val="false"/>
                <w:color w:val="333333"/>
                <w:sz w:val="17"/>
                <w:szCs w:val="17"/>
              </w:rPr>
              <w:t xml:space="preserve">$162,207.79</w:t>
            </w:r>
          </w:p>
        </w:tc>
        <w:tc>
          <w:tcPr>
            <w:tcW w:type="dxa" w:w="18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right"/>
            </w:pPr>
            <w:r>
              <w:rPr>
                <w:rFonts w:ascii="Arial" w:cs="Arial" w:eastAsia="Arial" w:hAnsi="Arial"/>
                <w:b w:val="false"/>
                <w:bCs w:val="false"/>
                <w:color w:val="333333"/>
                <w:sz w:val="17"/>
                <w:szCs w:val="17"/>
              </w:rPr>
              <w:t xml:space="preserve">$152,574.32</w:t>
            </w:r>
          </w:p>
        </w:tc>
        <w:tc>
          <w:tcPr>
            <w:tcW w:type="dxa" w:w="1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right"/>
            </w:pPr>
            <w:r>
              <w:rPr>
                <w:rFonts w:ascii="Arial" w:cs="Arial" w:eastAsia="Arial" w:hAnsi="Arial"/>
                <w:b w:val="false"/>
                <w:bCs w:val="false"/>
                <w:color w:val="1E6B3C"/>
                <w:sz w:val="17"/>
                <w:szCs w:val="17"/>
              </w:rPr>
              <w:t xml:space="preserve">–$9,633.47</w:t>
            </w:r>
          </w:p>
        </w:tc>
        <w:tc>
          <w:tcPr>
            <w:tcW w:type="dxa" w:w="1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color w:val="1E6B3C"/>
                <w:sz w:val="17"/>
                <w:szCs w:val="17"/>
              </w:rPr>
              <w:t xml:space="preserve">–5.94%</w:t>
            </w:r>
          </w:p>
        </w:tc>
      </w:tr>
      <w:tr>
        <w:tc>
          <w:tcPr>
            <w:tcW w:type="dxa" w:w="252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Arial" w:cs="Arial" w:eastAsia="Arial" w:hAnsi="Arial"/>
                <w:b w:val="false"/>
                <w:bCs w:val="false"/>
                <w:color w:val="1B3A5C"/>
                <w:sz w:val="17"/>
                <w:szCs w:val="17"/>
              </w:rPr>
              <w:t xml:space="preserve">Less: 4% Discount</w:t>
            </w:r>
          </w:p>
        </w:tc>
        <w:tc>
          <w:tcPr>
            <w:tcW w:type="dxa" w:w="18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right"/>
            </w:pPr>
            <w:r>
              <w:rPr>
                <w:rFonts w:ascii="Arial" w:cs="Arial" w:eastAsia="Arial" w:hAnsi="Arial"/>
                <w:b w:val="false"/>
                <w:bCs w:val="false"/>
                <w:color w:val="333333"/>
                <w:sz w:val="17"/>
                <w:szCs w:val="17"/>
              </w:rPr>
              <w:t xml:space="preserve">–$3,244.16</w:t>
            </w:r>
          </w:p>
        </w:tc>
        <w:tc>
          <w:tcPr>
            <w:tcW w:type="dxa" w:w="18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right"/>
            </w:pPr>
            <w:r>
              <w:rPr>
                <w:rFonts w:ascii="Arial" w:cs="Arial" w:eastAsia="Arial" w:hAnsi="Arial"/>
                <w:b w:val="false"/>
                <w:bCs w:val="false"/>
                <w:color w:val="333333"/>
                <w:sz w:val="17"/>
                <w:szCs w:val="17"/>
              </w:rPr>
              <w:t xml:space="preserve">–$3,051.49</w:t>
            </w:r>
          </w:p>
        </w:tc>
        <w:tc>
          <w:tcPr>
            <w:tcW w:type="dxa" w:w="15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right"/>
            </w:pPr>
            <w:r>
              <w:rPr>
                <w:rFonts w:ascii="Arial" w:cs="Arial" w:eastAsia="Arial" w:hAnsi="Arial"/>
                <w:b w:val="false"/>
                <w:bCs w:val="false"/>
                <w:color w:val="1E6B3C"/>
                <w:sz w:val="17"/>
                <w:szCs w:val="17"/>
              </w:rPr>
              <w:t xml:space="preserve">+$192.67</w:t>
            </w:r>
          </w:p>
        </w:tc>
        <w:tc>
          <w:tcPr>
            <w:tcW w:type="dxa" w:w="15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Arial" w:cs="Arial" w:eastAsia="Arial" w:hAnsi="Arial"/>
                <w:b w:val="false"/>
                <w:bCs w:val="false"/>
                <w:color w:val="1E6B3C"/>
                <w:sz w:val="17"/>
                <w:szCs w:val="17"/>
              </w:rPr>
              <w:t xml:space="preserve">—</w:t>
            </w:r>
          </w:p>
        </w:tc>
      </w:tr>
      <w:tr>
        <w:tc>
          <w:tcPr>
            <w:tcW w:type="dxa" w:w="2520"/>
            <w:tcBorders>
              <w:top w:val="single" w:color="CCCCCC" w:sz="4"/>
              <w:left w:val="single" w:color="CCCCCC" w:sz="4"/>
              <w:bottom w:val="single" w:color="CCCCCC" w:sz="4"/>
              <w:right w:val="single" w:color="CCCCCC" w:sz="4"/>
            </w:tcBorders>
            <w:shd w:fill="E8F5EE" w:val="clear"/>
            <w:tcMar>
              <w:top w:type="dxa" w:w="70"/>
              <w:left w:type="dxa" w:w="120"/>
              <w:bottom w:type="dxa" w:w="70"/>
              <w:right w:type="dxa" w:w="120"/>
            </w:tcMar>
          </w:tcPr>
          <w:p>
            <w:pPr>
              <w:jc w:val="left"/>
            </w:pPr>
            <w:r>
              <w:rPr>
                <w:rFonts w:ascii="Arial" w:cs="Arial" w:eastAsia="Arial" w:hAnsi="Arial"/>
                <w:b/>
                <w:bCs/>
                <w:color w:val="1E6B3C"/>
                <w:sz w:val="19"/>
                <w:szCs w:val="19"/>
              </w:rPr>
              <w:t xml:space="preserve">Net Payable</w:t>
            </w:r>
          </w:p>
        </w:tc>
        <w:tc>
          <w:tcPr>
            <w:tcW w:type="dxa" w:w="1860"/>
            <w:tcBorders>
              <w:top w:val="single" w:color="CCCCCC" w:sz="4"/>
              <w:left w:val="single" w:color="CCCCCC" w:sz="4"/>
              <w:bottom w:val="single" w:color="CCCCCC" w:sz="4"/>
              <w:right w:val="single" w:color="CCCCCC" w:sz="4"/>
            </w:tcBorders>
            <w:shd w:fill="E8F5EE" w:val="clear"/>
            <w:tcMar>
              <w:top w:type="dxa" w:w="70"/>
              <w:left w:type="dxa" w:w="120"/>
              <w:bottom w:type="dxa" w:w="70"/>
              <w:right w:type="dxa" w:w="120"/>
            </w:tcMar>
          </w:tcPr>
          <w:p>
            <w:pPr>
              <w:jc w:val="right"/>
            </w:pPr>
            <w:r>
              <w:rPr>
                <w:rFonts w:ascii="Arial" w:cs="Arial" w:eastAsia="Arial" w:hAnsi="Arial"/>
                <w:b/>
                <w:bCs/>
                <w:color w:val="1E6B3C"/>
                <w:sz w:val="19"/>
                <w:szCs w:val="19"/>
              </w:rPr>
              <w:t xml:space="preserve">$158,963.51</w:t>
            </w:r>
          </w:p>
        </w:tc>
        <w:tc>
          <w:tcPr>
            <w:tcW w:type="dxa" w:w="1860"/>
            <w:tcBorders>
              <w:top w:val="single" w:color="CCCCCC" w:sz="4"/>
              <w:left w:val="single" w:color="CCCCCC" w:sz="4"/>
              <w:bottom w:val="single" w:color="CCCCCC" w:sz="4"/>
              <w:right w:val="single" w:color="CCCCCC" w:sz="4"/>
            </w:tcBorders>
            <w:shd w:fill="E8F5EE" w:val="clear"/>
            <w:tcMar>
              <w:top w:type="dxa" w:w="70"/>
              <w:left w:type="dxa" w:w="120"/>
              <w:bottom w:type="dxa" w:w="70"/>
              <w:right w:type="dxa" w:w="120"/>
            </w:tcMar>
          </w:tcPr>
          <w:p>
            <w:pPr>
              <w:jc w:val="right"/>
            </w:pPr>
            <w:r>
              <w:rPr>
                <w:rFonts w:ascii="Arial" w:cs="Arial" w:eastAsia="Arial" w:hAnsi="Arial"/>
                <w:b/>
                <w:bCs/>
                <w:color w:val="1E6B3C"/>
                <w:sz w:val="19"/>
                <w:szCs w:val="19"/>
              </w:rPr>
              <w:t xml:space="preserve">$149,715.38</w:t>
            </w:r>
          </w:p>
        </w:tc>
        <w:tc>
          <w:tcPr>
            <w:tcW w:type="dxa" w:w="1560"/>
            <w:tcBorders>
              <w:top w:val="single" w:color="CCCCCC" w:sz="4"/>
              <w:left w:val="single" w:color="CCCCCC" w:sz="4"/>
              <w:bottom w:val="single" w:color="CCCCCC" w:sz="4"/>
              <w:right w:val="single" w:color="CCCCCC" w:sz="4"/>
            </w:tcBorders>
            <w:shd w:fill="E8F5EE" w:val="clear"/>
            <w:tcMar>
              <w:top w:type="dxa" w:w="70"/>
              <w:left w:type="dxa" w:w="120"/>
              <w:bottom w:type="dxa" w:w="70"/>
              <w:right w:type="dxa" w:w="120"/>
            </w:tcMar>
          </w:tcPr>
          <w:p>
            <w:pPr>
              <w:jc w:val="right"/>
            </w:pPr>
            <w:r>
              <w:rPr>
                <w:rFonts w:ascii="Arial" w:cs="Arial" w:eastAsia="Arial" w:hAnsi="Arial"/>
                <w:b/>
                <w:bCs/>
                <w:color w:val="1E6B3C"/>
                <w:sz w:val="19"/>
                <w:szCs w:val="19"/>
              </w:rPr>
              <w:t xml:space="preserve">–$9,248.13</w:t>
            </w:r>
          </w:p>
        </w:tc>
        <w:tc>
          <w:tcPr>
            <w:tcW w:type="dxa" w:w="1560"/>
            <w:tcBorders>
              <w:top w:val="single" w:color="CCCCCC" w:sz="4"/>
              <w:left w:val="single" w:color="CCCCCC" w:sz="4"/>
              <w:bottom w:val="single" w:color="CCCCCC" w:sz="4"/>
              <w:right w:val="single" w:color="CCCCCC" w:sz="4"/>
            </w:tcBorders>
            <w:shd w:fill="E8F5EE" w:val="clear"/>
            <w:tcMar>
              <w:top w:type="dxa" w:w="70"/>
              <w:left w:type="dxa" w:w="120"/>
              <w:bottom w:type="dxa" w:w="70"/>
              <w:right w:type="dxa" w:w="120"/>
            </w:tcMar>
          </w:tcPr>
          <w:p>
            <w:pPr>
              <w:jc w:val="center"/>
            </w:pPr>
            <w:r>
              <w:rPr>
                <w:rFonts w:ascii="Arial" w:cs="Arial" w:eastAsia="Arial" w:hAnsi="Arial"/>
                <w:b/>
                <w:bCs/>
                <w:color w:val="1E6B3C"/>
                <w:sz w:val="19"/>
                <w:szCs w:val="19"/>
              </w:rPr>
              <w:t xml:space="preserve">–5.82%</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1E6B3C" w:val="clear"/>
          </w:tcPr>
          <w:p/>
        </w:tc>
        <w:tc>
          <w:tcPr>
            <w:tcW w:type="dxa" w:w="9120"/>
            <w:tcBorders>
              <w:top w:val="none" w:color="FFFFFF" w:sz="0"/>
              <w:left w:val="none" w:color="FFFFFF" w:sz="0"/>
              <w:bottom w:val="none" w:color="FFFFFF" w:sz="0"/>
              <w:right w:val="none" w:color="FFFFFF" w:sz="0"/>
            </w:tcBorders>
            <w:shd w:fill="E8F5EE" w:val="clear"/>
            <w:tcMar>
              <w:top w:type="dxa" w:w="100"/>
              <w:left w:type="dxa" w:w="200"/>
              <w:bottom w:type="dxa" w:w="100"/>
              <w:right w:type="dxa" w:w="200"/>
            </w:tcMar>
          </w:tcPr>
          <w:p>
            <w:r>
              <w:rPr>
                <w:rFonts w:ascii="Arial" w:cs="Arial" w:eastAsia="Arial" w:hAnsi="Arial"/>
                <w:color w:val="1E6B3C"/>
                <w:sz w:val="20"/>
                <w:szCs w:val="20"/>
              </w:rPr>
              <w:t xml:space="preserve">The county agreed that the property was overvalued by $543,000. That single adjustment reduced the annual tax bill by $9,633.47. After taking the 4% early-pay discount into account, the net cash reduction was $9,248.13.</w:t>
            </w:r>
          </w:p>
        </w:tc>
      </w:tr>
    </w:tbl>
    <w:p>
      <w:pPr>
        <w:spacing w:after="0" w:before="120"/>
      </w:pPr>
    </w:p>
    <w:p>
      <w:pPr>
        <w:spacing w:after="60" w:before="180"/>
      </w:pPr>
      <w:r>
        <w:rPr>
          <w:rFonts w:ascii="Arial" w:cs="Arial" w:eastAsia="Arial" w:hAnsi="Arial"/>
          <w:b/>
          <w:bCs/>
          <w:color w:val="1E6B3C"/>
          <w:sz w:val="21"/>
          <w:szCs w:val="21"/>
        </w:rPr>
        <w:t xml:space="preserve">What Did It Cost, and What Did the Owner Net?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20"/>
        <w:gridCol w:w="3240"/>
      </w:tblGrid>
      <w:tr>
        <w:tc>
          <w:tcPr>
            <w:tcW w:type="dxa" w:w="6120"/>
            <w:tcBorders>
              <w:top w:val="single" w:color="C05400" w:sz="6"/>
              <w:left w:val="single" w:color="C05400" w:sz="6"/>
              <w:bottom w:val="single" w:color="C05400" w:sz="6"/>
              <w:right w:val="single" w:color="C05400" w:sz="6"/>
            </w:tcBorders>
            <w:shd w:fill="C054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Item</w:t>
            </w:r>
          </w:p>
        </w:tc>
        <w:tc>
          <w:tcPr>
            <w:tcW w:type="dxa" w:w="3240"/>
            <w:tcBorders>
              <w:top w:val="single" w:color="C05400" w:sz="6"/>
              <w:left w:val="single" w:color="C05400" w:sz="6"/>
              <w:bottom w:val="single" w:color="C05400" w:sz="6"/>
              <w:right w:val="single" w:color="C05400" w:sz="6"/>
            </w:tcBorders>
            <w:shd w:fill="C0540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Amount</w:t>
            </w:r>
          </w:p>
        </w:tc>
      </w:tr>
      <w:tr>
        <w:tc>
          <w:tcPr>
            <w:tcW w:type="dxa" w:w="612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Excess Taxes to Be Refunded to Owner</w:t>
            </w:r>
          </w:p>
        </w:tc>
        <w:tc>
          <w:tcPr>
            <w:tcW w:type="dxa" w:w="324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right"/>
            </w:pPr>
            <w:r>
              <w:rPr>
                <w:rFonts w:ascii="Arial" w:cs="Arial" w:eastAsia="Arial" w:hAnsi="Arial"/>
                <w:b w:val="false"/>
                <w:bCs w:val="false"/>
                <w:color w:val="333333"/>
                <w:sz w:val="18"/>
                <w:szCs w:val="18"/>
              </w:rPr>
              <w:t xml:space="preserve">$9,248.13</w:t>
            </w:r>
          </w:p>
        </w:tc>
      </w:tr>
      <w:tr>
        <w:tc>
          <w:tcPr>
            <w:tcW w:type="dxa" w:w="6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b w:val="false"/>
                <w:bCs w:val="false"/>
                <w:color w:val="C05400"/>
                <w:sz w:val="18"/>
                <w:szCs w:val="18"/>
              </w:rPr>
              <w:t xml:space="preserve">Less: CBRE Contingency Fee (20%)</w:t>
            </w:r>
          </w:p>
        </w:tc>
        <w:tc>
          <w:tcPr>
            <w:tcW w:type="dxa" w:w="32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right"/>
            </w:pPr>
            <w:r>
              <w:rPr>
                <w:rFonts w:ascii="Arial" w:cs="Arial" w:eastAsia="Arial" w:hAnsi="Arial"/>
                <w:b w:val="false"/>
                <w:bCs w:val="false"/>
                <w:color w:val="C05400"/>
                <w:sz w:val="18"/>
                <w:szCs w:val="18"/>
              </w:rPr>
              <w:t xml:space="preserve">–$1,849.63</w:t>
            </w:r>
          </w:p>
        </w:tc>
      </w:tr>
      <w:tr>
        <w:tc>
          <w:tcPr>
            <w:tcW w:type="dxa" w:w="612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Arial" w:cs="Arial" w:eastAsia="Arial" w:hAnsi="Arial"/>
                <w:b w:val="false"/>
                <w:bCs w:val="false"/>
                <w:color w:val="C05400"/>
                <w:sz w:val="18"/>
                <w:szCs w:val="18"/>
              </w:rPr>
              <w:t xml:space="preserve">Less: FL Filing Fee</w:t>
            </w:r>
          </w:p>
        </w:tc>
        <w:tc>
          <w:tcPr>
            <w:tcW w:type="dxa" w:w="324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right"/>
            </w:pPr>
            <w:r>
              <w:rPr>
                <w:rFonts w:ascii="Arial" w:cs="Arial" w:eastAsia="Arial" w:hAnsi="Arial"/>
                <w:b w:val="false"/>
                <w:bCs w:val="false"/>
                <w:color w:val="C05400"/>
                <w:sz w:val="18"/>
                <w:szCs w:val="18"/>
              </w:rPr>
              <w:t xml:space="preserve">–$50.00</w:t>
            </w:r>
          </w:p>
        </w:tc>
      </w:tr>
      <w:tr>
        <w:tc>
          <w:tcPr>
            <w:tcW w:type="dxa" w:w="6120"/>
            <w:tcBorders>
              <w:top w:val="single" w:color="CCCCCC" w:sz="4"/>
              <w:left w:val="single" w:color="CCCCCC" w:sz="4"/>
              <w:bottom w:val="single" w:color="CCCCCC" w:sz="4"/>
              <w:right w:val="single" w:color="CCCCCC" w:sz="4"/>
            </w:tcBorders>
            <w:shd w:fill="E8F5EE" w:val="clear"/>
            <w:tcMar>
              <w:top w:type="dxa" w:w="70"/>
              <w:left w:type="dxa" w:w="120"/>
              <w:bottom w:type="dxa" w:w="70"/>
              <w:right w:type="dxa" w:w="120"/>
            </w:tcMar>
          </w:tcPr>
          <w:p>
            <w:pPr>
              <w:jc w:val="left"/>
            </w:pPr>
            <w:r>
              <w:rPr>
                <w:rFonts w:ascii="Arial" w:cs="Arial" w:eastAsia="Arial" w:hAnsi="Arial"/>
                <w:b/>
                <w:bCs/>
                <w:color w:val="1E6B3C"/>
                <w:sz w:val="18"/>
                <w:szCs w:val="18"/>
              </w:rPr>
              <w:t xml:space="preserve">Net Benefit to Owner</w:t>
            </w:r>
          </w:p>
        </w:tc>
        <w:tc>
          <w:tcPr>
            <w:tcW w:type="dxa" w:w="3240"/>
            <w:tcBorders>
              <w:top w:val="single" w:color="CCCCCC" w:sz="4"/>
              <w:left w:val="single" w:color="CCCCCC" w:sz="4"/>
              <w:bottom w:val="single" w:color="CCCCCC" w:sz="4"/>
              <w:right w:val="single" w:color="CCCCCC" w:sz="4"/>
            </w:tcBorders>
            <w:shd w:fill="E8F5EE" w:val="clear"/>
            <w:tcMar>
              <w:top w:type="dxa" w:w="70"/>
              <w:left w:type="dxa" w:w="120"/>
              <w:bottom w:type="dxa" w:w="70"/>
              <w:right w:type="dxa" w:w="120"/>
            </w:tcMar>
          </w:tcPr>
          <w:p>
            <w:pPr>
              <w:jc w:val="right"/>
            </w:pPr>
            <w:r>
              <w:rPr>
                <w:rFonts w:ascii="Arial" w:cs="Arial" w:eastAsia="Arial" w:hAnsi="Arial"/>
                <w:b/>
                <w:bCs/>
                <w:color w:val="1E6B3C"/>
                <w:sz w:val="18"/>
                <w:szCs w:val="18"/>
              </w:rPr>
              <w:t xml:space="preserve">$7,348.50</w:t>
            </w:r>
          </w:p>
        </w:tc>
      </w:tr>
    </w:tbl>
    <w:p>
      <w:pPr>
        <w:spacing w:after="0" w:before="120"/>
      </w:pPr>
    </w:p>
    <w:p>
      <w:pPr>
        <w:spacing w:after="60" w:before="60"/>
      </w:pPr>
      <w:r>
        <w:rPr>
          <w:rFonts w:ascii="Arial" w:cs="Arial" w:eastAsia="Arial" w:hAnsi="Arial"/>
          <w:color w:val="333333"/>
          <w:sz w:val="20"/>
          <w:szCs w:val="20"/>
        </w:rPr>
        <w:t xml:space="preserve">The payment timeline worked as follows: CBRE collected the taxes on behalf of the property using escrow funds on November 4, 2025 — paying the original (pre-appeal) bill of $158,963.51. Once the appeal was settled, the county refunded $9,248.13 to the property. CBRE then invoiced their contingency fee of $1,849.63 + $50, leaving the owner with a net gain of $7,348.50.</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C2D91" w:val="clear"/>
            <w:tcMar>
              <w:top w:type="dxa" w:w="140"/>
              <w:left w:type="dxa" w:w="300"/>
              <w:bottom w:type="dxa" w:w="140"/>
              <w:right w:type="dxa" w:w="300"/>
            </w:tcMar>
          </w:tcPr>
          <w:p>
            <w:r>
              <w:rPr>
                <w:rFonts w:ascii="Arial" w:cs="Arial" w:eastAsia="Arial" w:hAnsi="Arial"/>
                <w:b/>
                <w:bCs/>
                <w:caps/>
                <w:color w:val="FFFFFF"/>
                <w:sz w:val="26"/>
                <w:szCs w:val="26"/>
              </w:rPr>
              <w:t xml:space="preserve">Section 5 — 2026 Projections &amp; Monthly Escrow</w:t>
            </w:r>
          </w:p>
        </w:tc>
      </w:tr>
    </w:tbl>
    <w:p>
      <w:pPr>
        <w:spacing w:after="0" w:before="120"/>
      </w:pPr>
    </w:p>
    <w:p>
      <w:pPr>
        <w:spacing w:after="60" w:before="80"/>
      </w:pPr>
      <w:r>
        <w:rPr>
          <w:rFonts w:ascii="Arial" w:cs="Arial" w:eastAsia="Arial" w:hAnsi="Arial"/>
          <w:color w:val="333333"/>
          <w:sz w:val="20"/>
          <w:szCs w:val="20"/>
        </w:rPr>
        <w:t xml:space="preserve">This section answers two practical questions: How much will taxes cost in 2026? And how much should be set aside each month to cover that bill?</w:t>
      </w:r>
    </w:p>
    <w:p>
      <w:pPr>
        <w:spacing w:after="0" w:before="80"/>
      </w:pPr>
    </w:p>
    <w:p>
      <w:pPr>
        <w:spacing w:after="60" w:before="180"/>
      </w:pPr>
      <w:r>
        <w:rPr>
          <w:rFonts w:ascii="Arial" w:cs="Arial" w:eastAsia="Arial" w:hAnsi="Arial"/>
          <w:b/>
          <w:bCs/>
          <w:color w:val="5C2D91"/>
          <w:sz w:val="21"/>
          <w:szCs w:val="21"/>
        </w:rPr>
        <w:t xml:space="preserve">2026 Tax Year Forecast</w:t>
      </w:r>
    </w:p>
    <w:p>
      <w:pPr>
        <w:spacing w:after="60" w:before="60"/>
      </w:pPr>
      <w:r>
        <w:rPr>
          <w:rFonts w:ascii="Arial" w:cs="Arial" w:eastAsia="Arial" w:hAnsi="Arial"/>
          <w:color w:val="333333"/>
          <w:sz w:val="20"/>
          <w:szCs w:val="20"/>
        </w:rPr>
        <w:t xml:space="preserve">The 2026 projection is based on the county's assessed value of $9,151,600 — slightly higher than 2025's $9,143,000, reflecting a modest CPI (inflation) adjustment. The millage rate is assumed to remain at 17.7412 (unchanged). No appeal adjustment is yet reflected in the base case; if a 2026 appeal succeeds similarly to 2025, the outcome is shown separately.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5C2D91" w:sz="6"/>
              <w:left w:val="single" w:color="5C2D91" w:sz="6"/>
              <w:bottom w:val="single" w:color="5C2D91" w:sz="6"/>
              <w:right w:val="single" w:color="5C2D91" w:sz="6"/>
            </w:tcBorders>
            <w:shd w:fill="5C2D9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Metric</w:t>
            </w:r>
          </w:p>
        </w:tc>
        <w:tc>
          <w:tcPr>
            <w:tcW w:type="dxa" w:w="4680"/>
            <w:tcBorders>
              <w:top w:val="single" w:color="5C2D91" w:sz="6"/>
              <w:left w:val="single" w:color="5C2D91" w:sz="6"/>
              <w:bottom w:val="single" w:color="5C2D91" w:sz="6"/>
              <w:right w:val="single" w:color="5C2D91" w:sz="6"/>
            </w:tcBorders>
            <w:shd w:fill="5C2D91"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2026 Projected Amount</w:t>
            </w:r>
          </w:p>
        </w:tc>
      </w:tr>
      <w:tr>
        <w:tc>
          <w:tcPr>
            <w:tcW w:type="dxa" w:w="468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Arial" w:cs="Arial" w:eastAsia="Arial" w:hAnsi="Arial"/>
                <w:b w:val="false"/>
                <w:bCs w:val="false"/>
                <w:color w:val="1B3A5C"/>
                <w:sz w:val="18"/>
                <w:szCs w:val="18"/>
              </w:rPr>
              <w:t xml:space="preserve">Projected Taxable Value</w:t>
            </w:r>
          </w:p>
        </w:tc>
        <w:tc>
          <w:tcPr>
            <w:tcW w:type="dxa" w:w="468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right"/>
            </w:pPr>
            <w:r>
              <w:rPr>
                <w:rFonts w:ascii="Arial" w:cs="Arial" w:eastAsia="Arial" w:hAnsi="Arial"/>
                <w:b w:val="false"/>
                <w:bCs w:val="false"/>
                <w:color w:val="333333"/>
                <w:sz w:val="18"/>
                <w:szCs w:val="18"/>
              </w:rPr>
              <w:t xml:space="preserve">$9,151,600</w:t>
            </w:r>
          </w:p>
        </w:tc>
      </w:tr>
      <w:tr>
        <w:tc>
          <w:tcPr>
            <w:tcW w:type="dxa" w:w="4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b w:val="false"/>
                <w:bCs w:val="false"/>
                <w:color w:val="1B3A5C"/>
                <w:sz w:val="18"/>
                <w:szCs w:val="18"/>
              </w:rPr>
              <w:t xml:space="preserve">Millage Rate (per $1,000 of value)</w:t>
            </w:r>
          </w:p>
        </w:tc>
        <w:tc>
          <w:tcPr>
            <w:tcW w:type="dxa" w:w="4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right"/>
            </w:pPr>
            <w:r>
              <w:rPr>
                <w:rFonts w:ascii="Arial" w:cs="Arial" w:eastAsia="Arial" w:hAnsi="Arial"/>
                <w:b w:val="false"/>
                <w:bCs w:val="false"/>
                <w:color w:val="333333"/>
                <w:sz w:val="18"/>
                <w:szCs w:val="18"/>
              </w:rPr>
              <w:t xml:space="preserve">17.7412</w:t>
            </w:r>
          </w:p>
        </w:tc>
      </w:tr>
      <w:tr>
        <w:tc>
          <w:tcPr>
            <w:tcW w:type="dxa" w:w="468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Arial" w:cs="Arial" w:eastAsia="Arial" w:hAnsi="Arial"/>
                <w:b w:val="false"/>
                <w:bCs w:val="false"/>
                <w:color w:val="1B3A5C"/>
                <w:sz w:val="18"/>
                <w:szCs w:val="18"/>
              </w:rPr>
              <w:t xml:space="preserve">Projected Ad Valorem Tax</w:t>
            </w:r>
          </w:p>
        </w:tc>
        <w:tc>
          <w:tcPr>
            <w:tcW w:type="dxa" w:w="468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right"/>
            </w:pPr>
            <w:r>
              <w:rPr>
                <w:rFonts w:ascii="Arial" w:cs="Arial" w:eastAsia="Arial" w:hAnsi="Arial"/>
                <w:b w:val="false"/>
                <w:bCs w:val="false"/>
                <w:color w:val="333333"/>
                <w:sz w:val="18"/>
                <w:szCs w:val="18"/>
              </w:rPr>
              <w:t xml:space="preserve">$162,360.37</w:t>
            </w:r>
          </w:p>
        </w:tc>
      </w:tr>
      <w:tr>
        <w:tc>
          <w:tcPr>
            <w:tcW w:type="dxa" w:w="4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b w:val="false"/>
                <w:bCs w:val="false"/>
                <w:color w:val="1B3A5C"/>
                <w:sz w:val="18"/>
                <w:szCs w:val="18"/>
              </w:rPr>
              <w:t xml:space="preserve">Non-Ad Valorem (Stormwater — fixed)</w:t>
            </w:r>
          </w:p>
        </w:tc>
        <w:tc>
          <w:tcPr>
            <w:tcW w:type="dxa" w:w="4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right"/>
            </w:pPr>
            <w:r>
              <w:rPr>
                <w:rFonts w:ascii="Arial" w:cs="Arial" w:eastAsia="Arial" w:hAnsi="Arial"/>
                <w:b w:val="false"/>
                <w:bCs w:val="false"/>
                <w:color w:val="333333"/>
                <w:sz w:val="18"/>
                <w:szCs w:val="18"/>
              </w:rPr>
              <w:t xml:space="preserve">$3,379.20</w:t>
            </w:r>
          </w:p>
        </w:tc>
      </w:tr>
      <w:tr>
        <w:tc>
          <w:tcPr>
            <w:tcW w:type="dxa" w:w="468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Arial" w:cs="Arial" w:eastAsia="Arial" w:hAnsi="Arial"/>
                <w:b w:val="false"/>
                <w:bCs w:val="false"/>
                <w:color w:val="1B3A5C"/>
                <w:sz w:val="18"/>
                <w:szCs w:val="18"/>
              </w:rPr>
              <w:t xml:space="preserve">Projected Grand Total</w:t>
            </w:r>
          </w:p>
        </w:tc>
        <w:tc>
          <w:tcPr>
            <w:tcW w:type="dxa" w:w="468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right"/>
            </w:pPr>
            <w:r>
              <w:rPr>
                <w:rFonts w:ascii="Arial" w:cs="Arial" w:eastAsia="Arial" w:hAnsi="Arial"/>
                <w:b w:val="false"/>
                <w:bCs w:val="false"/>
                <w:color w:val="333333"/>
                <w:sz w:val="18"/>
                <w:szCs w:val="18"/>
              </w:rPr>
              <w:t xml:space="preserve">$165,739.57</w:t>
            </w:r>
          </w:p>
        </w:tc>
      </w:tr>
      <w:tr>
        <w:tc>
          <w:tcPr>
            <w:tcW w:type="dxa" w:w="4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b w:val="false"/>
                <w:bCs w:val="false"/>
                <w:color w:val="1B3A5C"/>
                <w:sz w:val="18"/>
                <w:szCs w:val="18"/>
              </w:rPr>
              <w:t xml:space="preserve">4% Early Payment Discount</w:t>
            </w:r>
          </w:p>
        </w:tc>
        <w:tc>
          <w:tcPr>
            <w:tcW w:type="dxa" w:w="4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right"/>
            </w:pPr>
            <w:r>
              <w:rPr>
                <w:rFonts w:ascii="Arial" w:cs="Arial" w:eastAsia="Arial" w:hAnsi="Arial"/>
                <w:b w:val="false"/>
                <w:bCs w:val="false"/>
                <w:color w:val="333333"/>
                <w:sz w:val="18"/>
                <w:szCs w:val="18"/>
              </w:rPr>
              <w:t xml:space="preserve">–$6,629.58</w:t>
            </w:r>
          </w:p>
        </w:tc>
      </w:tr>
      <w:tr>
        <w:tc>
          <w:tcPr>
            <w:tcW w:type="dxa" w:w="468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Arial" w:cs="Arial" w:eastAsia="Arial" w:hAnsi="Arial"/>
                <w:b w:val="false"/>
                <w:bCs w:val="false"/>
                <w:color w:val="1B3A5C"/>
                <w:sz w:val="18"/>
                <w:szCs w:val="18"/>
              </w:rPr>
              <w:t xml:space="preserve">Projected Net Payable</w:t>
            </w:r>
          </w:p>
        </w:tc>
        <w:tc>
          <w:tcPr>
            <w:tcW w:type="dxa" w:w="468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right"/>
            </w:pPr>
            <w:r>
              <w:rPr>
                <w:rFonts w:ascii="Arial" w:cs="Arial" w:eastAsia="Arial" w:hAnsi="Arial"/>
                <w:b w:val="false"/>
                <w:bCs w:val="false"/>
                <w:color w:val="333333"/>
                <w:sz w:val="18"/>
                <w:szCs w:val="18"/>
              </w:rPr>
              <w:t xml:space="preserve">$159,109.98</w:t>
            </w:r>
          </w:p>
        </w:tc>
      </w:tr>
      <w:tr>
        <w:tc>
          <w:tcPr>
            <w:tcW w:type="dxa" w:w="4680"/>
            <w:tcBorders>
              <w:top w:val="single" w:color="CCCCCC" w:sz="4"/>
              <w:left w:val="single" w:color="CCCCCC" w:sz="4"/>
              <w:bottom w:val="single" w:color="CCCCCC" w:sz="4"/>
              <w:right w:val="single" w:color="CCCCCC" w:sz="4"/>
            </w:tcBorders>
            <w:shd w:fill="F0EBF9" w:val="clear"/>
            <w:tcMar>
              <w:top w:type="dxa" w:w="70"/>
              <w:left w:type="dxa" w:w="120"/>
              <w:bottom w:type="dxa" w:w="70"/>
              <w:right w:type="dxa" w:w="120"/>
            </w:tcMar>
          </w:tcPr>
          <w:p>
            <w:pPr>
              <w:jc w:val="left"/>
            </w:pPr>
            <w:r>
              <w:rPr>
                <w:rFonts w:ascii="Arial" w:cs="Arial" w:eastAsia="Arial" w:hAnsi="Arial"/>
                <w:b/>
                <w:bCs/>
                <w:color w:val="5C2D91"/>
                <w:sz w:val="18"/>
                <w:szCs w:val="18"/>
              </w:rPr>
              <w:t xml:space="preserve">If 2026 Appeal Wins (est.)</w:t>
            </w:r>
          </w:p>
        </w:tc>
        <w:tc>
          <w:tcPr>
            <w:tcW w:type="dxa" w:w="4680"/>
            <w:tcBorders>
              <w:top w:val="single" w:color="CCCCCC" w:sz="4"/>
              <w:left w:val="single" w:color="CCCCCC" w:sz="4"/>
              <w:bottom w:val="single" w:color="CCCCCC" w:sz="4"/>
              <w:right w:val="single" w:color="CCCCCC" w:sz="4"/>
            </w:tcBorders>
            <w:shd w:fill="F0EBF9" w:val="clear"/>
            <w:tcMar>
              <w:top w:type="dxa" w:w="70"/>
              <w:left w:type="dxa" w:w="120"/>
              <w:bottom w:type="dxa" w:w="70"/>
              <w:right w:type="dxa" w:w="120"/>
            </w:tcMar>
          </w:tcPr>
          <w:p>
            <w:pPr>
              <w:jc w:val="right"/>
            </w:pPr>
            <w:r>
              <w:rPr>
                <w:rFonts w:ascii="Arial" w:cs="Arial" w:eastAsia="Arial" w:hAnsi="Arial"/>
                <w:b/>
                <w:bCs/>
                <w:color w:val="5C2D91"/>
                <w:sz w:val="18"/>
                <w:szCs w:val="18"/>
              </w:rPr>
              <w:t xml:space="preserve">~$149,800</w:t>
            </w:r>
          </w:p>
        </w:tc>
      </w:tr>
    </w:tbl>
    <w:p>
      <w:pPr>
        <w:spacing w:after="0" w:before="120"/>
      </w:pPr>
    </w:p>
    <w:p>
      <w:pPr>
        <w:spacing w:after="60" w:before="180"/>
      </w:pPr>
      <w:r>
        <w:rPr>
          <w:rFonts w:ascii="Arial" w:cs="Arial" w:eastAsia="Arial" w:hAnsi="Arial"/>
          <w:b/>
          <w:bCs/>
          <w:color w:val="5C2D91"/>
          <w:sz w:val="21"/>
          <w:szCs w:val="21"/>
        </w:rPr>
        <w:t xml:space="preserve">Monthly Escrow — What Gets Set Aside</w:t>
      </w:r>
    </w:p>
    <w:p>
      <w:pPr>
        <w:spacing w:after="60" w:before="60"/>
      </w:pPr>
      <w:r>
        <w:rPr>
          <w:rFonts w:ascii="Arial" w:cs="Arial" w:eastAsia="Arial" w:hAnsi="Arial"/>
          <w:color w:val="333333"/>
          <w:sz w:val="20"/>
          <w:szCs w:val="20"/>
        </w:rPr>
        <w:t xml:space="preserve">Rather than paying $165,000+ in a lump sum each year, the property sets aside money every month into a tax escrow account. This prevents a cash crunch when the November bill arrives. The escrow is calculated by dividing the projected annual tax bill by 12.</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7A7A" w:sz="6"/>
              <w:left w:val="single" w:color="1A7A7A" w:sz="6"/>
              <w:bottom w:val="single" w:color="1A7A7A" w:sz="6"/>
              <w:right w:val="single" w:color="1A7A7A" w:sz="6"/>
            </w:tcBorders>
            <w:shd w:fill="1A7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Escrow Item</w:t>
            </w:r>
          </w:p>
        </w:tc>
        <w:tc>
          <w:tcPr>
            <w:tcW w:type="dxa" w:w="4680"/>
            <w:tcBorders>
              <w:top w:val="single" w:color="1A7A7A" w:sz="6"/>
              <w:left w:val="single" w:color="1A7A7A" w:sz="6"/>
              <w:bottom w:val="single" w:color="1A7A7A" w:sz="6"/>
              <w:right w:val="single" w:color="1A7A7A" w:sz="6"/>
            </w:tcBorders>
            <w:shd w:fill="1A7A7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Amount</w:t>
            </w:r>
          </w:p>
        </w:tc>
      </w:tr>
      <w:tr>
        <w:tc>
          <w:tcPr>
            <w:tcW w:type="dxa" w:w="468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Arial" w:cs="Arial" w:eastAsia="Arial" w:hAnsi="Arial"/>
                <w:b w:val="false"/>
                <w:bCs w:val="false"/>
                <w:color w:val="1B3A5C"/>
                <w:sz w:val="18"/>
                <w:szCs w:val="18"/>
              </w:rPr>
              <w:t xml:space="preserve">Monthly Escrow — Current Basis (no appeal)</w:t>
            </w:r>
          </w:p>
        </w:tc>
        <w:tc>
          <w:tcPr>
            <w:tcW w:type="dxa" w:w="468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right"/>
            </w:pPr>
            <w:r>
              <w:rPr>
                <w:rFonts w:ascii="Arial" w:cs="Arial" w:eastAsia="Arial" w:hAnsi="Arial"/>
                <w:b w:val="false"/>
                <w:bCs w:val="false"/>
                <w:color w:val="333333"/>
                <w:sz w:val="18"/>
                <w:szCs w:val="18"/>
              </w:rPr>
              <w:t xml:space="preserve">$14,572.46 / month</w:t>
            </w:r>
          </w:p>
        </w:tc>
      </w:tr>
      <w:tr>
        <w:tc>
          <w:tcPr>
            <w:tcW w:type="dxa" w:w="4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b w:val="false"/>
                <w:bCs w:val="false"/>
                <w:color w:val="1B3A5C"/>
                <w:sz w:val="18"/>
                <w:szCs w:val="18"/>
              </w:rPr>
              <w:t xml:space="preserve">Monthly Escrow — If 2026 Appeal Succeeds</w:t>
            </w:r>
          </w:p>
        </w:tc>
        <w:tc>
          <w:tcPr>
            <w:tcW w:type="dxa" w:w="4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right"/>
            </w:pPr>
            <w:r>
              <w:rPr>
                <w:rFonts w:ascii="Arial" w:cs="Arial" w:eastAsia="Arial" w:hAnsi="Arial"/>
                <w:b w:val="false"/>
                <w:bCs w:val="false"/>
                <w:color w:val="333333"/>
                <w:sz w:val="18"/>
                <w:szCs w:val="18"/>
              </w:rPr>
              <w:t xml:space="preserve">$13,259.17 / month</w:t>
            </w:r>
          </w:p>
        </w:tc>
      </w:tr>
      <w:tr>
        <w:tc>
          <w:tcPr>
            <w:tcW w:type="dxa" w:w="468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Arial" w:cs="Arial" w:eastAsia="Arial" w:hAnsi="Arial"/>
                <w:b w:val="false"/>
                <w:bCs w:val="false"/>
                <w:color w:val="1B3A5C"/>
                <w:sz w:val="18"/>
                <w:szCs w:val="18"/>
              </w:rPr>
              <w:t xml:space="preserve">Annual Escrow — Current Basis</w:t>
            </w:r>
          </w:p>
        </w:tc>
        <w:tc>
          <w:tcPr>
            <w:tcW w:type="dxa" w:w="468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right"/>
            </w:pPr>
            <w:r>
              <w:rPr>
                <w:rFonts w:ascii="Arial" w:cs="Arial" w:eastAsia="Arial" w:hAnsi="Arial"/>
                <w:b w:val="false"/>
                <w:bCs w:val="false"/>
                <w:color w:val="333333"/>
                <w:sz w:val="18"/>
                <w:szCs w:val="18"/>
              </w:rPr>
              <w:t xml:space="preserve">$174,869.52 / year</w:t>
            </w:r>
          </w:p>
        </w:tc>
      </w:tr>
      <w:tr>
        <w:tc>
          <w:tcPr>
            <w:tcW w:type="dxa" w:w="4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b w:val="false"/>
                <w:bCs w:val="false"/>
                <w:color w:val="1B3A5C"/>
                <w:sz w:val="18"/>
                <w:szCs w:val="18"/>
              </w:rPr>
              <w:t xml:space="preserve">Annual Escrow — Adjusted (appeal success)</w:t>
            </w:r>
          </w:p>
        </w:tc>
        <w:tc>
          <w:tcPr>
            <w:tcW w:type="dxa" w:w="4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right"/>
            </w:pPr>
            <w:r>
              <w:rPr>
                <w:rFonts w:ascii="Arial" w:cs="Arial" w:eastAsia="Arial" w:hAnsi="Arial"/>
                <w:b w:val="false"/>
                <w:bCs w:val="false"/>
                <w:color w:val="333333"/>
                <w:sz w:val="18"/>
                <w:szCs w:val="18"/>
              </w:rPr>
              <w:t xml:space="preserve">$159,110.04 / year</w:t>
            </w:r>
          </w:p>
        </w:tc>
      </w:tr>
      <w:tr>
        <w:tc>
          <w:tcPr>
            <w:tcW w:type="dxa" w:w="468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Arial" w:cs="Arial" w:eastAsia="Arial" w:hAnsi="Arial"/>
                <w:b w:val="false"/>
                <w:bCs w:val="false"/>
                <w:color w:val="1B3A5C"/>
                <w:sz w:val="18"/>
                <w:szCs w:val="18"/>
              </w:rPr>
              <w:t xml:space="preserve">Calculation Method</w:t>
            </w:r>
          </w:p>
        </w:tc>
        <w:tc>
          <w:tcPr>
            <w:tcW w:type="dxa" w:w="468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right"/>
            </w:pPr>
            <w:r>
              <w:rPr>
                <w:rFonts w:ascii="Arial" w:cs="Arial" w:eastAsia="Arial" w:hAnsi="Arial"/>
                <w:b w:val="false"/>
                <w:bCs w:val="false"/>
                <w:color w:val="333333"/>
                <w:sz w:val="18"/>
                <w:szCs w:val="18"/>
              </w:rPr>
              <w:t xml:space="preserve">Projected gross tax ÷ 12 months</w:t>
            </w:r>
          </w:p>
        </w:tc>
      </w:tr>
      <w:tr>
        <w:tc>
          <w:tcPr>
            <w:tcW w:type="dxa" w:w="4680"/>
            <w:tcBorders>
              <w:top w:val="single" w:color="CCCCCC" w:sz="4"/>
              <w:left w:val="single" w:color="CCCCCC" w:sz="4"/>
              <w:bottom w:val="single" w:color="CCCCCC" w:sz="4"/>
              <w:right w:val="single" w:color="CCCCCC" w:sz="4"/>
            </w:tcBorders>
            <w:shd w:fill="E0F4F4" w:val="clear"/>
            <w:tcMar>
              <w:top w:type="dxa" w:w="70"/>
              <w:left w:type="dxa" w:w="120"/>
              <w:bottom w:type="dxa" w:w="70"/>
              <w:right w:type="dxa" w:w="120"/>
            </w:tcMar>
          </w:tcPr>
          <w:p>
            <w:pPr>
              <w:jc w:val="left"/>
            </w:pPr>
            <w:r>
              <w:rPr>
                <w:rFonts w:ascii="Arial" w:cs="Arial" w:eastAsia="Arial" w:hAnsi="Arial"/>
                <w:b/>
                <w:bCs/>
                <w:color w:val="1A7A7A"/>
                <w:sz w:val="18"/>
                <w:szCs w:val="18"/>
              </w:rPr>
              <w:t xml:space="preserve">Potential Monthly Savings (if appeal wins)</w:t>
            </w:r>
          </w:p>
        </w:tc>
        <w:tc>
          <w:tcPr>
            <w:tcW w:type="dxa" w:w="4680"/>
            <w:tcBorders>
              <w:top w:val="single" w:color="CCCCCC" w:sz="4"/>
              <w:left w:val="single" w:color="CCCCCC" w:sz="4"/>
              <w:bottom w:val="single" w:color="CCCCCC" w:sz="4"/>
              <w:right w:val="single" w:color="CCCCCC" w:sz="4"/>
            </w:tcBorders>
            <w:shd w:fill="E0F4F4" w:val="clear"/>
            <w:tcMar>
              <w:top w:type="dxa" w:w="70"/>
              <w:left w:type="dxa" w:w="120"/>
              <w:bottom w:type="dxa" w:w="70"/>
              <w:right w:type="dxa" w:w="120"/>
            </w:tcMar>
          </w:tcPr>
          <w:p>
            <w:pPr>
              <w:jc w:val="right"/>
            </w:pPr>
            <w:r>
              <w:rPr>
                <w:rFonts w:ascii="Arial" w:cs="Arial" w:eastAsia="Arial" w:hAnsi="Arial"/>
                <w:b/>
                <w:bCs/>
                <w:color w:val="1A7A7A"/>
                <w:sz w:val="18"/>
                <w:szCs w:val="18"/>
              </w:rPr>
              <w:t xml:space="preserve">~$1,313.29 / month</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5C2D91" w:val="clear"/>
          </w:tcPr>
          <w:p/>
        </w:tc>
        <w:tc>
          <w:tcPr>
            <w:tcW w:type="dxa" w:w="9120"/>
            <w:tcBorders>
              <w:top w:val="none" w:color="FFFFFF" w:sz="0"/>
              <w:left w:val="none" w:color="FFFFFF" w:sz="0"/>
              <w:bottom w:val="none" w:color="FFFFFF" w:sz="0"/>
              <w:right w:val="none" w:color="FFFFFF" w:sz="0"/>
            </w:tcBorders>
            <w:shd w:fill="F0EBF9" w:val="clear"/>
            <w:tcMar>
              <w:top w:type="dxa" w:w="100"/>
              <w:left w:type="dxa" w:w="200"/>
              <w:bottom w:type="dxa" w:w="100"/>
              <w:right w:type="dxa" w:w="200"/>
            </w:tcMar>
          </w:tcPr>
          <w:p>
            <w:r>
              <w:rPr>
                <w:rFonts w:ascii="Arial" w:cs="Arial" w:eastAsia="Arial" w:hAnsi="Arial"/>
                <w:color w:val="5C2D91"/>
                <w:sz w:val="20"/>
                <w:szCs w:val="20"/>
              </w:rPr>
              <w:t xml:space="preserve">If the 2026 appeal succeeds (same ~5.94% reduction as 2025), the monthly escrow requirement drops by $1,313 per month — a meaningful improvement to monthly cash flow.</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5400" w:val="clear"/>
            <w:tcMar>
              <w:top w:type="dxa" w:w="140"/>
              <w:left w:type="dxa" w:w="300"/>
              <w:bottom w:type="dxa" w:w="140"/>
              <w:right w:type="dxa" w:w="300"/>
            </w:tcMar>
          </w:tcPr>
          <w:p>
            <w:r>
              <w:rPr>
                <w:rFonts w:ascii="Arial" w:cs="Arial" w:eastAsia="Arial" w:hAnsi="Arial"/>
                <w:b/>
                <w:bCs/>
                <w:caps/>
                <w:color w:val="FFFFFF"/>
                <w:sz w:val="26"/>
                <w:szCs w:val="26"/>
              </w:rPr>
              <w:t xml:space="preserve">Section 6 — Tangible Personal Property Tax</w:t>
            </w:r>
          </w:p>
        </w:tc>
      </w:tr>
    </w:tbl>
    <w:p>
      <w:pPr>
        <w:spacing w:after="0" w:before="120"/>
      </w:pPr>
    </w:p>
    <w:p>
      <w:pPr>
        <w:spacing w:after="60" w:before="80"/>
      </w:pPr>
      <w:r>
        <w:rPr>
          <w:rFonts w:ascii="Arial" w:cs="Arial" w:eastAsia="Arial" w:hAnsi="Arial"/>
          <w:color w:val="333333"/>
          <w:sz w:val="20"/>
          <w:szCs w:val="20"/>
        </w:rPr>
        <w:t xml:space="preserve">In addition to real estate taxes (which are based on land and buildings), Florida also levies a Tangible Personal Property (TPP) tax on business equipment and furnishings. This is completely separate from real estate taxes and is filed on a different form with a different account number.</w:t>
      </w:r>
    </w:p>
    <w:p>
      <w:pPr>
        <w:spacing w:after="0" w:before="80"/>
      </w:pPr>
    </w:p>
    <w:p>
      <w:pPr>
        <w:spacing w:after="60" w:before="180"/>
      </w:pPr>
      <w:r>
        <w:rPr>
          <w:rFonts w:ascii="Arial" w:cs="Arial" w:eastAsia="Arial" w:hAnsi="Arial"/>
          <w:b/>
          <w:bCs/>
          <w:color w:val="C05400"/>
          <w:sz w:val="21"/>
          <w:szCs w:val="21"/>
        </w:rPr>
        <w:t xml:space="preserve">What Is Tangible Personal Property?</w:t>
      </w:r>
    </w:p>
    <w:p>
      <w:pPr>
        <w:spacing w:after="60" w:before="60"/>
      </w:pPr>
      <w:r>
        <w:rPr>
          <w:rFonts w:ascii="Arial" w:cs="Arial" w:eastAsia="Arial" w:hAnsi="Arial"/>
          <w:color w:val="333333"/>
          <w:sz w:val="20"/>
          <w:szCs w:val="20"/>
        </w:rPr>
        <w:t xml:space="preserve">TPP includes everything inside the business that is not permanently attached to the building — office furniture, computers, appliances, TVs, printers, and similar movable assets used in running the business. Fixtures permanently installed (like plumbing or built-in cabinetry) are part of real estate and not counted here.</w:t>
      </w:r>
    </w:p>
    <w:p>
      <w:pPr>
        <w:spacing w:after="0" w:before="80"/>
      </w:pPr>
    </w:p>
    <w:p>
      <w:pPr>
        <w:spacing w:after="60" w:before="180"/>
      </w:pPr>
      <w:r>
        <w:rPr>
          <w:rFonts w:ascii="Arial" w:cs="Arial" w:eastAsia="Arial" w:hAnsi="Arial"/>
          <w:b/>
          <w:bCs/>
          <w:color w:val="C05400"/>
          <w:sz w:val="21"/>
          <w:szCs w:val="21"/>
        </w:rPr>
        <w:t xml:space="preserve">Return Filing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Arial" w:cs="Arial" w:eastAsia="Arial" w:hAnsi="Arial"/>
                <w:b/>
                <w:bCs/>
                <w:color w:val="1B3A5C"/>
                <w:sz w:val="18"/>
                <w:szCs w:val="18"/>
              </w:rPr>
              <w:t xml:space="preserve">TPP Account #</w:t>
            </w:r>
          </w:p>
        </w:tc>
        <w:tc>
          <w:tcPr>
            <w:tcW w:type="dxa" w:w="612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8045150000 — 531110 GS</w:t>
            </w:r>
          </w:p>
        </w:tc>
      </w:tr>
      <w:tr>
        <w:tc>
          <w:tcPr>
            <w:tcW w:type="dxa" w:w="32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b/>
                <w:bCs/>
                <w:color w:val="1B3A5C"/>
                <w:sz w:val="18"/>
                <w:szCs w:val="18"/>
              </w:rPr>
              <w:t xml:space="preserve">Tax Year</w:t>
            </w:r>
          </w:p>
        </w:tc>
        <w:tc>
          <w:tcPr>
            <w:tcW w:type="dxa" w:w="6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2026 (fiscal year ending 12/31/2025)</w:t>
            </w:r>
          </w:p>
        </w:tc>
      </w:tr>
      <w:tr>
        <w:tc>
          <w:tcPr>
            <w:tcW w:type="dxa" w:w="324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Arial" w:cs="Arial" w:eastAsia="Arial" w:hAnsi="Arial"/>
                <w:b/>
                <w:bCs/>
                <w:color w:val="1B3A5C"/>
                <w:sz w:val="18"/>
                <w:szCs w:val="18"/>
              </w:rPr>
              <w:t xml:space="preserve">Filed With</w:t>
            </w:r>
          </w:p>
        </w:tc>
        <w:tc>
          <w:tcPr>
            <w:tcW w:type="dxa" w:w="612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Joyce Morgan, Duval County Property Appraiser</w:t>
            </w:r>
          </w:p>
        </w:tc>
      </w:tr>
      <w:tr>
        <w:tc>
          <w:tcPr>
            <w:tcW w:type="dxa" w:w="32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b/>
                <w:bCs/>
                <w:color w:val="1B3A5C"/>
                <w:sz w:val="18"/>
                <w:szCs w:val="18"/>
              </w:rPr>
              <w:t xml:space="preserve">Filing Address</w:t>
            </w:r>
          </w:p>
        </w:tc>
        <w:tc>
          <w:tcPr>
            <w:tcW w:type="dxa" w:w="6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231 E. Forsyth Street, Suite 330, Jacksonville, FL 32202</w:t>
            </w:r>
          </w:p>
        </w:tc>
      </w:tr>
      <w:tr>
        <w:tc>
          <w:tcPr>
            <w:tcW w:type="dxa" w:w="324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Arial" w:cs="Arial" w:eastAsia="Arial" w:hAnsi="Arial"/>
                <w:b/>
                <w:bCs/>
                <w:color w:val="1B3A5C"/>
                <w:sz w:val="18"/>
                <w:szCs w:val="18"/>
              </w:rPr>
              <w:t xml:space="preserve">Deadline</w:t>
            </w:r>
          </w:p>
        </w:tc>
        <w:tc>
          <w:tcPr>
            <w:tcW w:type="dxa" w:w="612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Arial" w:cs="Arial" w:eastAsia="Arial" w:hAnsi="Arial"/>
                <w:b w:val="false"/>
                <w:bCs w:val="false"/>
                <w:color w:val="C05400"/>
                <w:sz w:val="18"/>
                <w:szCs w:val="18"/>
              </w:rPr>
              <w:t xml:space="preserve">April 1 — late filings lose the $25,000 exemption</w:t>
            </w:r>
          </w:p>
        </w:tc>
      </w:tr>
      <w:tr>
        <w:tc>
          <w:tcPr>
            <w:tcW w:type="dxa" w:w="32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b/>
                <w:bCs/>
                <w:color w:val="1B3A5C"/>
                <w:sz w:val="18"/>
                <w:szCs w:val="18"/>
              </w:rPr>
              <w:t xml:space="preserve">$25,000 Exemption</w:t>
            </w:r>
          </w:p>
        </w:tc>
        <w:tc>
          <w:tcPr>
            <w:tcW w:type="dxa" w:w="6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b w:val="false"/>
                <w:bCs w:val="false"/>
                <w:color w:val="1E6B3C"/>
                <w:sz w:val="18"/>
                <w:szCs w:val="18"/>
              </w:rPr>
              <w:t xml:space="preserve">Automatically applied when the return is filed on time</w:t>
            </w:r>
          </w:p>
        </w:tc>
      </w:tr>
      <w:tr>
        <w:tc>
          <w:tcPr>
            <w:tcW w:type="dxa" w:w="324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Arial" w:cs="Arial" w:eastAsia="Arial" w:hAnsi="Arial"/>
                <w:b/>
                <w:bCs/>
                <w:color w:val="1B3A5C"/>
                <w:sz w:val="18"/>
                <w:szCs w:val="18"/>
              </w:rPr>
              <w:t xml:space="preserve">Owner / Filer</w:t>
            </w:r>
          </w:p>
        </w:tc>
        <w:tc>
          <w:tcPr>
            <w:tcW w:type="dxa" w:w="612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Red Raider 45 LLC / Vinnie Patel</w:t>
            </w:r>
          </w:p>
        </w:tc>
      </w:tr>
      <w:tr>
        <w:tc>
          <w:tcPr>
            <w:tcW w:type="dxa" w:w="324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b/>
                <w:bCs/>
                <w:color w:val="1B3A5C"/>
                <w:sz w:val="18"/>
                <w:szCs w:val="18"/>
              </w:rPr>
              <w:t xml:space="preserve">Business Start (Duval)</w:t>
            </w:r>
          </w:p>
        </w:tc>
        <w:tc>
          <w:tcPr>
            <w:tcW w:type="dxa" w:w="6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January 22, 2024</w:t>
            </w:r>
          </w:p>
        </w:tc>
      </w:tr>
    </w:tbl>
    <w:p>
      <w:pPr>
        <w:spacing w:after="0" w:before="120"/>
      </w:pPr>
    </w:p>
    <w:p>
      <w:pPr>
        <w:spacing w:after="60" w:before="180"/>
      </w:pPr>
      <w:r>
        <w:rPr>
          <w:rFonts w:ascii="Arial" w:cs="Arial" w:eastAsia="Arial" w:hAnsi="Arial"/>
          <w:b/>
          <w:bCs/>
          <w:color w:val="C05400"/>
          <w:sz w:val="21"/>
          <w:szCs w:val="21"/>
        </w:rPr>
        <w:t xml:space="preserve">Declared Assets and Their Values</w:t>
      </w:r>
    </w:p>
    <w:p>
      <w:pPr>
        <w:spacing w:after="60" w:before="60"/>
      </w:pPr>
      <w:r>
        <w:rPr>
          <w:rFonts w:ascii="Arial" w:cs="Arial" w:eastAsia="Arial" w:hAnsi="Arial"/>
          <w:color w:val="333333"/>
          <w:sz w:val="20"/>
          <w:szCs w:val="20"/>
        </w:rPr>
        <w:t xml:space="preserve">The owner submitted a taxpayer estimate of fair market value for all business assets. The county uses these values (and their own depreciation tables) to determine taxable value. Here is what was declared: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780"/>
        <w:gridCol w:w="780"/>
        <w:gridCol w:w="1200"/>
        <w:gridCol w:w="3900"/>
      </w:tblGrid>
      <w:tr>
        <w:tc>
          <w:tcPr>
            <w:tcW w:type="dxa" w:w="2700"/>
            <w:tcBorders>
              <w:top w:val="single" w:color="C05400" w:sz="6"/>
              <w:left w:val="single" w:color="C05400" w:sz="6"/>
              <w:bottom w:val="single" w:color="C05400" w:sz="6"/>
              <w:right w:val="single" w:color="C05400" w:sz="6"/>
            </w:tcBorders>
            <w:shd w:fill="C05400"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Asset</w:t>
            </w:r>
          </w:p>
        </w:tc>
        <w:tc>
          <w:tcPr>
            <w:tcW w:type="dxa" w:w="780"/>
            <w:tcBorders>
              <w:top w:val="single" w:color="C05400" w:sz="6"/>
              <w:left w:val="single" w:color="C05400" w:sz="6"/>
              <w:bottom w:val="single" w:color="C05400" w:sz="6"/>
              <w:right w:val="single" w:color="C05400" w:sz="6"/>
            </w:tcBorders>
            <w:shd w:fill="C05400"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Year</w:t>
            </w:r>
          </w:p>
        </w:tc>
        <w:tc>
          <w:tcPr>
            <w:tcW w:type="dxa" w:w="780"/>
            <w:tcBorders>
              <w:top w:val="single" w:color="C05400" w:sz="6"/>
              <w:left w:val="single" w:color="C05400" w:sz="6"/>
              <w:bottom w:val="single" w:color="C05400" w:sz="6"/>
              <w:right w:val="single" w:color="C05400" w:sz="6"/>
            </w:tcBorders>
            <w:shd w:fill="C05400"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Condition</w:t>
            </w:r>
          </w:p>
        </w:tc>
        <w:tc>
          <w:tcPr>
            <w:tcW w:type="dxa" w:w="1200"/>
            <w:tcBorders>
              <w:top w:val="single" w:color="C05400" w:sz="6"/>
              <w:left w:val="single" w:color="C05400" w:sz="6"/>
              <w:bottom w:val="single" w:color="C05400" w:sz="6"/>
              <w:right w:val="single" w:color="C05400" w:sz="6"/>
            </w:tcBorders>
            <w:shd w:fill="C05400"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Fair Market Value</w:t>
            </w:r>
          </w:p>
        </w:tc>
        <w:tc>
          <w:tcPr>
            <w:tcW w:type="dxa" w:w="3900"/>
            <w:tcBorders>
              <w:top w:val="single" w:color="C05400" w:sz="6"/>
              <w:left w:val="single" w:color="C05400" w:sz="6"/>
              <w:bottom w:val="single" w:color="C05400" w:sz="6"/>
              <w:right w:val="single" w:color="C05400" w:sz="6"/>
            </w:tcBorders>
            <w:shd w:fill="C05400"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Category</w:t>
            </w:r>
          </w:p>
        </w:tc>
      </w:tr>
      <w:tr>
        <w:tc>
          <w:tcPr>
            <w:tcW w:type="dxa" w:w="27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7"/>
                <w:szCs w:val="17"/>
              </w:rPr>
              <w:t xml:space="preserve">Front Desk</w:t>
            </w:r>
          </w:p>
        </w:tc>
        <w:tc>
          <w:tcPr>
            <w:tcW w:type="dxa" w:w="78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Arial" w:cs="Arial" w:eastAsia="Arial" w:hAnsi="Arial"/>
                <w:b w:val="false"/>
                <w:bCs w:val="false"/>
                <w:color w:val="555555"/>
                <w:sz w:val="17"/>
                <w:szCs w:val="17"/>
              </w:rPr>
              <w:t xml:space="preserve">2024</w:t>
            </w:r>
          </w:p>
        </w:tc>
        <w:tc>
          <w:tcPr>
            <w:tcW w:type="dxa" w:w="78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Arial" w:cs="Arial" w:eastAsia="Arial" w:hAnsi="Arial"/>
                <w:b w:val="false"/>
                <w:bCs w:val="false"/>
                <w:color w:val="555555"/>
                <w:sz w:val="17"/>
                <w:szCs w:val="17"/>
              </w:rPr>
              <w:t xml:space="preserve">Good</w:t>
            </w:r>
          </w:p>
        </w:tc>
        <w:tc>
          <w:tcPr>
            <w:tcW w:type="dxa" w:w="1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right"/>
            </w:pPr>
            <w:r>
              <w:rPr>
                <w:rFonts w:ascii="Arial" w:cs="Arial" w:eastAsia="Arial" w:hAnsi="Arial"/>
                <w:b w:val="false"/>
                <w:bCs w:val="false"/>
                <w:color w:val="333333"/>
                <w:sz w:val="17"/>
                <w:szCs w:val="17"/>
              </w:rPr>
              <w:t xml:space="preserve">$128.99</w:t>
            </w:r>
          </w:p>
        </w:tc>
        <w:tc>
          <w:tcPr>
            <w:tcW w:type="dxa" w:w="39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Arial" w:cs="Arial" w:eastAsia="Arial" w:hAnsi="Arial"/>
                <w:b w:val="false"/>
                <w:bCs w:val="false"/>
                <w:color w:val="555555"/>
                <w:sz w:val="17"/>
                <w:szCs w:val="17"/>
              </w:rPr>
              <w:t xml:space="preserve">Office furniture</w:t>
            </w:r>
          </w:p>
        </w:tc>
      </w:tr>
      <w:tr>
        <w:tc>
          <w:tcPr>
            <w:tcW w:type="dxa" w:w="27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17"/>
                <w:szCs w:val="17"/>
              </w:rPr>
              <w:t xml:space="preserve">Back Desk</w:t>
            </w:r>
          </w:p>
        </w:tc>
        <w:tc>
          <w:tcPr>
            <w:tcW w:type="dxa" w:w="7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color w:val="555555"/>
                <w:sz w:val="17"/>
                <w:szCs w:val="17"/>
              </w:rPr>
              <w:t xml:space="preserve">2024</w:t>
            </w:r>
          </w:p>
        </w:tc>
        <w:tc>
          <w:tcPr>
            <w:tcW w:type="dxa" w:w="7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color w:val="555555"/>
                <w:sz w:val="17"/>
                <w:szCs w:val="17"/>
              </w:rPr>
              <w:t xml:space="preserve">Good</w:t>
            </w:r>
          </w:p>
        </w:tc>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right"/>
            </w:pPr>
            <w:r>
              <w:rPr>
                <w:rFonts w:ascii="Arial" w:cs="Arial" w:eastAsia="Arial" w:hAnsi="Arial"/>
                <w:b w:val="false"/>
                <w:bCs w:val="false"/>
                <w:color w:val="333333"/>
                <w:sz w:val="17"/>
                <w:szCs w:val="17"/>
              </w:rPr>
              <w:t xml:space="preserve">$210.00</w:t>
            </w:r>
          </w:p>
        </w:tc>
        <w:tc>
          <w:tcPr>
            <w:tcW w:type="dxa" w:w="3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color w:val="555555"/>
                <w:sz w:val="17"/>
                <w:szCs w:val="17"/>
              </w:rPr>
              <w:t xml:space="preserve">Office furniture</w:t>
            </w:r>
          </w:p>
        </w:tc>
      </w:tr>
      <w:tr>
        <w:tc>
          <w:tcPr>
            <w:tcW w:type="dxa" w:w="27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7"/>
                <w:szCs w:val="17"/>
              </w:rPr>
              <w:t xml:space="preserve">Round Table with 4 Chairs</w:t>
            </w:r>
          </w:p>
        </w:tc>
        <w:tc>
          <w:tcPr>
            <w:tcW w:type="dxa" w:w="78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Arial" w:cs="Arial" w:eastAsia="Arial" w:hAnsi="Arial"/>
                <w:b w:val="false"/>
                <w:bCs w:val="false"/>
                <w:color w:val="555555"/>
                <w:sz w:val="17"/>
                <w:szCs w:val="17"/>
              </w:rPr>
              <w:t xml:space="preserve">2024</w:t>
            </w:r>
          </w:p>
        </w:tc>
        <w:tc>
          <w:tcPr>
            <w:tcW w:type="dxa" w:w="78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Arial" w:cs="Arial" w:eastAsia="Arial" w:hAnsi="Arial"/>
                <w:b w:val="false"/>
                <w:bCs w:val="false"/>
                <w:color w:val="555555"/>
                <w:sz w:val="17"/>
                <w:szCs w:val="17"/>
              </w:rPr>
              <w:t xml:space="preserve">Good</w:t>
            </w:r>
          </w:p>
        </w:tc>
        <w:tc>
          <w:tcPr>
            <w:tcW w:type="dxa" w:w="1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right"/>
            </w:pPr>
            <w:r>
              <w:rPr>
                <w:rFonts w:ascii="Arial" w:cs="Arial" w:eastAsia="Arial" w:hAnsi="Arial"/>
                <w:b w:val="false"/>
                <w:bCs w:val="false"/>
                <w:color w:val="333333"/>
                <w:sz w:val="17"/>
                <w:szCs w:val="17"/>
              </w:rPr>
              <w:t xml:space="preserve">$105.00</w:t>
            </w:r>
          </w:p>
        </w:tc>
        <w:tc>
          <w:tcPr>
            <w:tcW w:type="dxa" w:w="39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Arial" w:cs="Arial" w:eastAsia="Arial" w:hAnsi="Arial"/>
                <w:b w:val="false"/>
                <w:bCs w:val="false"/>
                <w:color w:val="555555"/>
                <w:sz w:val="17"/>
                <w:szCs w:val="17"/>
              </w:rPr>
              <w:t xml:space="preserve">Office furniture</w:t>
            </w:r>
          </w:p>
        </w:tc>
      </w:tr>
      <w:tr>
        <w:tc>
          <w:tcPr>
            <w:tcW w:type="dxa" w:w="27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17"/>
                <w:szCs w:val="17"/>
              </w:rPr>
              <w:t xml:space="preserve">TV Entertainment Stand</w:t>
            </w:r>
          </w:p>
        </w:tc>
        <w:tc>
          <w:tcPr>
            <w:tcW w:type="dxa" w:w="7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color w:val="555555"/>
                <w:sz w:val="17"/>
                <w:szCs w:val="17"/>
              </w:rPr>
              <w:t xml:space="preserve">2024</w:t>
            </w:r>
          </w:p>
        </w:tc>
        <w:tc>
          <w:tcPr>
            <w:tcW w:type="dxa" w:w="7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color w:val="555555"/>
                <w:sz w:val="17"/>
                <w:szCs w:val="17"/>
              </w:rPr>
              <w:t xml:space="preserve">Good</w:t>
            </w:r>
          </w:p>
        </w:tc>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right"/>
            </w:pPr>
            <w:r>
              <w:rPr>
                <w:rFonts w:ascii="Arial" w:cs="Arial" w:eastAsia="Arial" w:hAnsi="Arial"/>
                <w:b w:val="false"/>
                <w:bCs w:val="false"/>
                <w:color w:val="333333"/>
                <w:sz w:val="17"/>
                <w:szCs w:val="17"/>
              </w:rPr>
              <w:t xml:space="preserve">$145.00</w:t>
            </w:r>
          </w:p>
        </w:tc>
        <w:tc>
          <w:tcPr>
            <w:tcW w:type="dxa" w:w="3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color w:val="555555"/>
                <w:sz w:val="17"/>
                <w:szCs w:val="17"/>
              </w:rPr>
              <w:t xml:space="preserve">Office furniture</w:t>
            </w:r>
          </w:p>
        </w:tc>
      </w:tr>
      <w:tr>
        <w:tc>
          <w:tcPr>
            <w:tcW w:type="dxa" w:w="27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7"/>
                <w:szCs w:val="17"/>
              </w:rPr>
              <w:t xml:space="preserve">52" TV</w:t>
            </w:r>
          </w:p>
        </w:tc>
        <w:tc>
          <w:tcPr>
            <w:tcW w:type="dxa" w:w="78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Arial" w:cs="Arial" w:eastAsia="Arial" w:hAnsi="Arial"/>
                <w:b w:val="false"/>
                <w:bCs w:val="false"/>
                <w:color w:val="555555"/>
                <w:sz w:val="17"/>
                <w:szCs w:val="17"/>
              </w:rPr>
              <w:t xml:space="preserve">2024</w:t>
            </w:r>
          </w:p>
        </w:tc>
        <w:tc>
          <w:tcPr>
            <w:tcW w:type="dxa" w:w="78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Arial" w:cs="Arial" w:eastAsia="Arial" w:hAnsi="Arial"/>
                <w:b w:val="false"/>
                <w:bCs w:val="false"/>
                <w:color w:val="555555"/>
                <w:sz w:val="17"/>
                <w:szCs w:val="17"/>
              </w:rPr>
              <w:t xml:space="preserve">Good</w:t>
            </w:r>
          </w:p>
        </w:tc>
        <w:tc>
          <w:tcPr>
            <w:tcW w:type="dxa" w:w="1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right"/>
            </w:pPr>
            <w:r>
              <w:rPr>
                <w:rFonts w:ascii="Arial" w:cs="Arial" w:eastAsia="Arial" w:hAnsi="Arial"/>
                <w:b w:val="false"/>
                <w:bCs w:val="false"/>
                <w:color w:val="333333"/>
                <w:sz w:val="17"/>
                <w:szCs w:val="17"/>
              </w:rPr>
              <w:t xml:space="preserve">$499.00</w:t>
            </w:r>
          </w:p>
        </w:tc>
        <w:tc>
          <w:tcPr>
            <w:tcW w:type="dxa" w:w="39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Arial" w:cs="Arial" w:eastAsia="Arial" w:hAnsi="Arial"/>
                <w:b w:val="false"/>
                <w:bCs w:val="false"/>
                <w:color w:val="555555"/>
                <w:sz w:val="17"/>
                <w:szCs w:val="17"/>
              </w:rPr>
              <w:t xml:space="preserve">Office equipment</w:t>
            </w:r>
          </w:p>
        </w:tc>
      </w:tr>
      <w:tr>
        <w:tc>
          <w:tcPr>
            <w:tcW w:type="dxa" w:w="27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17"/>
                <w:szCs w:val="17"/>
              </w:rPr>
              <w:t xml:space="preserve">Epson ET-5800 Printer</w:t>
            </w:r>
          </w:p>
        </w:tc>
        <w:tc>
          <w:tcPr>
            <w:tcW w:type="dxa" w:w="7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color w:val="555555"/>
                <w:sz w:val="17"/>
                <w:szCs w:val="17"/>
              </w:rPr>
              <w:t xml:space="preserve">2024</w:t>
            </w:r>
          </w:p>
        </w:tc>
        <w:tc>
          <w:tcPr>
            <w:tcW w:type="dxa" w:w="7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color w:val="555555"/>
                <w:sz w:val="17"/>
                <w:szCs w:val="17"/>
              </w:rPr>
              <w:t xml:space="preserve">Good</w:t>
            </w:r>
          </w:p>
        </w:tc>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right"/>
            </w:pPr>
            <w:r>
              <w:rPr>
                <w:rFonts w:ascii="Arial" w:cs="Arial" w:eastAsia="Arial" w:hAnsi="Arial"/>
                <w:b w:val="false"/>
                <w:bCs w:val="false"/>
                <w:color w:val="333333"/>
                <w:sz w:val="17"/>
                <w:szCs w:val="17"/>
              </w:rPr>
              <w:t xml:space="preserve">$799.00</w:t>
            </w:r>
          </w:p>
        </w:tc>
        <w:tc>
          <w:tcPr>
            <w:tcW w:type="dxa" w:w="3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color w:val="555555"/>
                <w:sz w:val="17"/>
                <w:szCs w:val="17"/>
              </w:rPr>
              <w:t xml:space="preserve">EDP equipment</w:t>
            </w:r>
          </w:p>
        </w:tc>
      </w:tr>
      <w:tr>
        <w:tc>
          <w:tcPr>
            <w:tcW w:type="dxa" w:w="27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7"/>
                <w:szCs w:val="17"/>
              </w:rPr>
              <w:t xml:space="preserve">Filing Cabinets (3 @ $99)</w:t>
            </w:r>
          </w:p>
        </w:tc>
        <w:tc>
          <w:tcPr>
            <w:tcW w:type="dxa" w:w="78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Arial" w:cs="Arial" w:eastAsia="Arial" w:hAnsi="Arial"/>
                <w:b w:val="false"/>
                <w:bCs w:val="false"/>
                <w:color w:val="555555"/>
                <w:sz w:val="17"/>
                <w:szCs w:val="17"/>
              </w:rPr>
              <w:t xml:space="preserve">2024</w:t>
            </w:r>
          </w:p>
        </w:tc>
        <w:tc>
          <w:tcPr>
            <w:tcW w:type="dxa" w:w="78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Arial" w:cs="Arial" w:eastAsia="Arial" w:hAnsi="Arial"/>
                <w:b w:val="false"/>
                <w:bCs w:val="false"/>
                <w:color w:val="555555"/>
                <w:sz w:val="17"/>
                <w:szCs w:val="17"/>
              </w:rPr>
              <w:t xml:space="preserve">Good</w:t>
            </w:r>
          </w:p>
        </w:tc>
        <w:tc>
          <w:tcPr>
            <w:tcW w:type="dxa" w:w="1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right"/>
            </w:pPr>
            <w:r>
              <w:rPr>
                <w:rFonts w:ascii="Arial" w:cs="Arial" w:eastAsia="Arial" w:hAnsi="Arial"/>
                <w:b w:val="false"/>
                <w:bCs w:val="false"/>
                <w:color w:val="333333"/>
                <w:sz w:val="17"/>
                <w:szCs w:val="17"/>
              </w:rPr>
              <w:t xml:space="preserve">$297.00</w:t>
            </w:r>
          </w:p>
        </w:tc>
        <w:tc>
          <w:tcPr>
            <w:tcW w:type="dxa" w:w="39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Arial" w:cs="Arial" w:eastAsia="Arial" w:hAnsi="Arial"/>
                <w:b w:val="false"/>
                <w:bCs w:val="false"/>
                <w:color w:val="555555"/>
                <w:sz w:val="17"/>
                <w:szCs w:val="17"/>
              </w:rPr>
              <w:t xml:space="preserve">Office equipment</w:t>
            </w:r>
          </w:p>
        </w:tc>
      </w:tr>
      <w:tr>
        <w:tc>
          <w:tcPr>
            <w:tcW w:type="dxa" w:w="27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17"/>
                <w:szCs w:val="17"/>
              </w:rPr>
              <w:t xml:space="preserve">4-Cube Organizer (3 @ $29.84)</w:t>
            </w:r>
          </w:p>
        </w:tc>
        <w:tc>
          <w:tcPr>
            <w:tcW w:type="dxa" w:w="7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color w:val="555555"/>
                <w:sz w:val="17"/>
                <w:szCs w:val="17"/>
              </w:rPr>
              <w:t xml:space="preserve">2024</w:t>
            </w:r>
          </w:p>
        </w:tc>
        <w:tc>
          <w:tcPr>
            <w:tcW w:type="dxa" w:w="7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color w:val="555555"/>
                <w:sz w:val="17"/>
                <w:szCs w:val="17"/>
              </w:rPr>
              <w:t xml:space="preserve">Good</w:t>
            </w:r>
          </w:p>
        </w:tc>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right"/>
            </w:pPr>
            <w:r>
              <w:rPr>
                <w:rFonts w:ascii="Arial" w:cs="Arial" w:eastAsia="Arial" w:hAnsi="Arial"/>
                <w:b w:val="false"/>
                <w:bCs w:val="false"/>
                <w:color w:val="333333"/>
                <w:sz w:val="17"/>
                <w:szCs w:val="17"/>
              </w:rPr>
              <w:t xml:space="preserve">$89.52</w:t>
            </w:r>
          </w:p>
        </w:tc>
        <w:tc>
          <w:tcPr>
            <w:tcW w:type="dxa" w:w="3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color w:val="555555"/>
                <w:sz w:val="17"/>
                <w:szCs w:val="17"/>
              </w:rPr>
              <w:t xml:space="preserve">Office equipment</w:t>
            </w:r>
          </w:p>
        </w:tc>
      </w:tr>
      <w:tr>
        <w:tc>
          <w:tcPr>
            <w:tcW w:type="dxa" w:w="27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7"/>
                <w:szCs w:val="17"/>
              </w:rPr>
              <w:t xml:space="preserve">Mini Fridge</w:t>
            </w:r>
          </w:p>
        </w:tc>
        <w:tc>
          <w:tcPr>
            <w:tcW w:type="dxa" w:w="78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Arial" w:cs="Arial" w:eastAsia="Arial" w:hAnsi="Arial"/>
                <w:b w:val="false"/>
                <w:bCs w:val="false"/>
                <w:color w:val="555555"/>
                <w:sz w:val="17"/>
                <w:szCs w:val="17"/>
              </w:rPr>
              <w:t xml:space="preserve">2024</w:t>
            </w:r>
          </w:p>
        </w:tc>
        <w:tc>
          <w:tcPr>
            <w:tcW w:type="dxa" w:w="78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Arial" w:cs="Arial" w:eastAsia="Arial" w:hAnsi="Arial"/>
                <w:b w:val="false"/>
                <w:bCs w:val="false"/>
                <w:color w:val="555555"/>
                <w:sz w:val="17"/>
                <w:szCs w:val="17"/>
              </w:rPr>
              <w:t xml:space="preserve">Avg</w:t>
            </w:r>
          </w:p>
        </w:tc>
        <w:tc>
          <w:tcPr>
            <w:tcW w:type="dxa" w:w="1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right"/>
            </w:pPr>
            <w:r>
              <w:rPr>
                <w:rFonts w:ascii="Arial" w:cs="Arial" w:eastAsia="Arial" w:hAnsi="Arial"/>
                <w:b w:val="false"/>
                <w:bCs w:val="false"/>
                <w:color w:val="333333"/>
                <w:sz w:val="17"/>
                <w:szCs w:val="17"/>
              </w:rPr>
              <w:t xml:space="preserve">$179.00</w:t>
            </w:r>
          </w:p>
        </w:tc>
        <w:tc>
          <w:tcPr>
            <w:tcW w:type="dxa" w:w="39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Arial" w:cs="Arial" w:eastAsia="Arial" w:hAnsi="Arial"/>
                <w:b w:val="false"/>
                <w:bCs w:val="false"/>
                <w:color w:val="555555"/>
                <w:sz w:val="17"/>
                <w:szCs w:val="17"/>
              </w:rPr>
              <w:t xml:space="preserve">Office equipment</w:t>
            </w:r>
          </w:p>
        </w:tc>
      </w:tr>
      <w:tr>
        <w:tc>
          <w:tcPr>
            <w:tcW w:type="dxa" w:w="27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17"/>
                <w:szCs w:val="17"/>
              </w:rPr>
              <w:t xml:space="preserve">Appliances (from General Ledger)</w:t>
            </w:r>
          </w:p>
        </w:tc>
        <w:tc>
          <w:tcPr>
            <w:tcW w:type="dxa" w:w="7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color w:val="555555"/>
                <w:sz w:val="17"/>
                <w:szCs w:val="17"/>
              </w:rPr>
              <w:t xml:space="preserve">2024</w:t>
            </w:r>
          </w:p>
        </w:tc>
        <w:tc>
          <w:tcPr>
            <w:tcW w:type="dxa" w:w="7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color w:val="555555"/>
                <w:sz w:val="17"/>
                <w:szCs w:val="17"/>
              </w:rPr>
              <w:t xml:space="preserve">Avg</w:t>
            </w:r>
          </w:p>
        </w:tc>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right"/>
            </w:pPr>
            <w:r>
              <w:rPr>
                <w:rFonts w:ascii="Arial" w:cs="Arial" w:eastAsia="Arial" w:hAnsi="Arial"/>
                <w:b w:val="false"/>
                <w:bCs w:val="false"/>
                <w:color w:val="333333"/>
                <w:sz w:val="17"/>
                <w:szCs w:val="17"/>
              </w:rPr>
              <w:t xml:space="preserve">$36,743.27</w:t>
            </w:r>
          </w:p>
        </w:tc>
        <w:tc>
          <w:tcPr>
            <w:tcW w:type="dxa" w:w="3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color w:val="555555"/>
                <w:sz w:val="17"/>
                <w:szCs w:val="17"/>
              </w:rPr>
              <w:t xml:space="preserve">Rental unit appliances</w:t>
            </w:r>
          </w:p>
        </w:tc>
      </w:tr>
      <w:tr>
        <w:tc>
          <w:tcPr>
            <w:tcW w:type="dxa" w:w="2700"/>
            <w:tcBorders>
              <w:top w:val="single" w:color="CCCCCC" w:sz="4"/>
              <w:left w:val="single" w:color="CCCCCC" w:sz="4"/>
              <w:bottom w:val="single" w:color="CCCCCC" w:sz="4"/>
              <w:right w:val="single" w:color="CCCCCC" w:sz="4"/>
            </w:tcBorders>
            <w:shd w:fill="FDF0E8" w:val="clear"/>
            <w:tcMar>
              <w:top w:type="dxa" w:w="70"/>
              <w:left w:type="dxa" w:w="120"/>
              <w:bottom w:type="dxa" w:w="70"/>
              <w:right w:type="dxa" w:w="120"/>
            </w:tcMar>
          </w:tcPr>
          <w:p>
            <w:pPr>
              <w:jc w:val="center"/>
            </w:pPr>
            <w:r>
              <w:rPr>
                <w:rFonts w:ascii="Arial" w:cs="Arial" w:eastAsia="Arial" w:hAnsi="Arial"/>
                <w:b/>
                <w:bCs/>
                <w:color w:val="C05400"/>
                <w:sz w:val="19"/>
                <w:szCs w:val="19"/>
              </w:rPr>
              <w:t xml:space="preserve">TOTAL FAIR MARKET VALUE</w:t>
            </w:r>
          </w:p>
        </w:tc>
        <w:tc>
          <w:tcPr>
            <w:tcW w:type="dxa" w:w="780"/>
            <w:tcBorders>
              <w:top w:val="single" w:color="CCCCCC" w:sz="4"/>
              <w:left w:val="single" w:color="CCCCCC" w:sz="4"/>
              <w:bottom w:val="single" w:color="CCCCCC" w:sz="4"/>
              <w:right w:val="single" w:color="CCCCCC" w:sz="4"/>
            </w:tcBorders>
            <w:shd w:fill="FDF0E8" w:val="clear"/>
            <w:tcMar>
              <w:top w:type="dxa" w:w="70"/>
              <w:left w:type="dxa" w:w="120"/>
              <w:bottom w:type="dxa" w:w="70"/>
              <w:right w:type="dxa" w:w="120"/>
            </w:tcMar>
          </w:tcPr>
          <w:p>
            <w:pPr>
              <w:jc w:val="center"/>
            </w:pPr>
            <w:r>
              <w:rPr>
                <w:rFonts w:ascii="Arial" w:cs="Arial" w:eastAsia="Arial" w:hAnsi="Arial"/>
                <w:b/>
                <w:bCs/>
                <w:color w:val="C05400"/>
                <w:sz w:val="19"/>
                <w:szCs w:val="19"/>
              </w:rPr>
              <w:t xml:space="preserve"/>
            </w:r>
          </w:p>
        </w:tc>
        <w:tc>
          <w:tcPr>
            <w:tcW w:type="dxa" w:w="780"/>
            <w:tcBorders>
              <w:top w:val="single" w:color="CCCCCC" w:sz="4"/>
              <w:left w:val="single" w:color="CCCCCC" w:sz="4"/>
              <w:bottom w:val="single" w:color="CCCCCC" w:sz="4"/>
              <w:right w:val="single" w:color="CCCCCC" w:sz="4"/>
            </w:tcBorders>
            <w:shd w:fill="FDF0E8" w:val="clear"/>
            <w:tcMar>
              <w:top w:type="dxa" w:w="70"/>
              <w:left w:type="dxa" w:w="120"/>
              <w:bottom w:type="dxa" w:w="70"/>
              <w:right w:type="dxa" w:w="120"/>
            </w:tcMar>
          </w:tcPr>
          <w:p>
            <w:pPr>
              <w:jc w:val="center"/>
            </w:pPr>
            <w:r>
              <w:rPr>
                <w:rFonts w:ascii="Arial" w:cs="Arial" w:eastAsia="Arial" w:hAnsi="Arial"/>
                <w:b/>
                <w:bCs/>
                <w:color w:val="C05400"/>
                <w:sz w:val="19"/>
                <w:szCs w:val="19"/>
              </w:rPr>
              <w:t xml:space="preserve"/>
            </w:r>
          </w:p>
        </w:tc>
        <w:tc>
          <w:tcPr>
            <w:tcW w:type="dxa" w:w="1200"/>
            <w:tcBorders>
              <w:top w:val="single" w:color="CCCCCC" w:sz="4"/>
              <w:left w:val="single" w:color="CCCCCC" w:sz="4"/>
              <w:bottom w:val="single" w:color="CCCCCC" w:sz="4"/>
              <w:right w:val="single" w:color="CCCCCC" w:sz="4"/>
            </w:tcBorders>
            <w:shd w:fill="FDF0E8" w:val="clear"/>
            <w:tcMar>
              <w:top w:type="dxa" w:w="70"/>
              <w:left w:type="dxa" w:w="120"/>
              <w:bottom w:type="dxa" w:w="70"/>
              <w:right w:type="dxa" w:w="120"/>
            </w:tcMar>
          </w:tcPr>
          <w:p>
            <w:pPr>
              <w:jc w:val="right"/>
            </w:pPr>
            <w:r>
              <w:rPr>
                <w:rFonts w:ascii="Arial" w:cs="Arial" w:eastAsia="Arial" w:hAnsi="Arial"/>
                <w:b/>
                <w:bCs/>
                <w:color w:val="C05400"/>
                <w:sz w:val="19"/>
                <w:szCs w:val="19"/>
              </w:rPr>
              <w:t xml:space="preserve">$39,195.78</w:t>
            </w:r>
          </w:p>
        </w:tc>
        <w:tc>
          <w:tcPr>
            <w:tcW w:type="dxa" w:w="3900"/>
            <w:tcBorders>
              <w:top w:val="single" w:color="CCCCCC" w:sz="4"/>
              <w:left w:val="single" w:color="CCCCCC" w:sz="4"/>
              <w:bottom w:val="single" w:color="CCCCCC" w:sz="4"/>
              <w:right w:val="single" w:color="CCCCCC" w:sz="4"/>
            </w:tcBorders>
            <w:shd w:fill="FDF0E8" w:val="clear"/>
            <w:tcMar>
              <w:top w:type="dxa" w:w="70"/>
              <w:left w:type="dxa" w:w="120"/>
              <w:bottom w:type="dxa" w:w="70"/>
              <w:right w:type="dxa" w:w="120"/>
            </w:tcMar>
          </w:tcPr>
          <w:p>
            <w:pPr>
              <w:jc w:val="center"/>
            </w:pPr>
            <w:r>
              <w:rPr>
                <w:rFonts w:ascii="Arial" w:cs="Arial" w:eastAsia="Arial" w:hAnsi="Arial"/>
                <w:b/>
                <w:bCs/>
                <w:color w:val="C05400"/>
                <w:sz w:val="19"/>
                <w:szCs w:val="19"/>
              </w:rPr>
              <w:t xml:space="preserve">Before $25,000 exemption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C05400" w:val="clear"/>
          </w:tcPr>
          <w:p/>
        </w:tc>
        <w:tc>
          <w:tcPr>
            <w:tcW w:type="dxa" w:w="9120"/>
            <w:tcBorders>
              <w:top w:val="none" w:color="FFFFFF" w:sz="0"/>
              <w:left w:val="none" w:color="FFFFFF" w:sz="0"/>
              <w:bottom w:val="none" w:color="FFFFFF" w:sz="0"/>
              <w:right w:val="none" w:color="FFFFFF" w:sz="0"/>
            </w:tcBorders>
            <w:shd w:fill="FDF0E8" w:val="clear"/>
            <w:tcMar>
              <w:top w:type="dxa" w:w="100"/>
              <w:left w:type="dxa" w:w="200"/>
              <w:bottom w:type="dxa" w:w="100"/>
              <w:right w:type="dxa" w:w="200"/>
            </w:tcMar>
          </w:tcPr>
          <w:p>
            <w:r>
              <w:rPr>
                <w:rFonts w:ascii="Arial" w:cs="Arial" w:eastAsia="Arial" w:hAnsi="Arial"/>
                <w:color w:val="C05400"/>
                <w:sz w:val="20"/>
                <w:szCs w:val="20"/>
              </w:rPr>
              <w:t xml:space="preserve">After subtracting the automatic $25,000 exemption, the taxable TPP value is approximately $14,196. At the current millage rate of 17.7412, this produces roughly $251/year in TPP tax — a negligible cost compared to the ~$165,000 real estate tax bill.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B1C1C" w:val="clear"/>
            <w:tcMar>
              <w:top w:type="dxa" w:w="140"/>
              <w:left w:type="dxa" w:w="300"/>
              <w:bottom w:type="dxa" w:w="140"/>
              <w:right w:type="dxa" w:w="300"/>
            </w:tcMar>
          </w:tcPr>
          <w:p>
            <w:r>
              <w:rPr>
                <w:rFonts w:ascii="Arial" w:cs="Arial" w:eastAsia="Arial" w:hAnsi="Arial"/>
                <w:b/>
                <w:bCs/>
                <w:caps/>
                <w:color w:val="FFFFFF"/>
                <w:sz w:val="26"/>
                <w:szCs w:val="26"/>
              </w:rPr>
              <w:t xml:space="preserve">Section 7 — Key Insights &amp; Analysis</w:t>
            </w:r>
          </w:p>
        </w:tc>
      </w:tr>
    </w:tbl>
    <w:p>
      <w:pPr>
        <w:spacing w:after="0" w:before="120"/>
      </w:pPr>
    </w:p>
    <w:p>
      <w:pPr>
        <w:spacing w:after="60" w:before="80"/>
      </w:pPr>
      <w:r>
        <w:rPr>
          <w:rFonts w:ascii="Arial" w:cs="Arial" w:eastAsia="Arial" w:hAnsi="Arial"/>
          <w:color w:val="333333"/>
          <w:sz w:val="20"/>
          <w:szCs w:val="20"/>
        </w:rPr>
        <w:t xml:space="preserve">Having walked through all the data, here are the most important takeaways — the kind of things an experienced real estate tax professional would flag immediately: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4"/>
              <w:left w:val="single" w:color="CCCCCC" w:sz="4"/>
              <w:bottom w:val="single" w:color="CCCCCC" w:sz="4"/>
              <w:right w:val="single" w:color="CCCCCC" w:sz="4"/>
            </w:tcBorders>
            <w:shd w:fill="EBF4FB" w:val="clear"/>
            <w:tcMar>
              <w:top w:type="dxa" w:w="100"/>
              <w:left w:type="dxa" w:w="80"/>
              <w:bottom w:type="dxa" w:w="100"/>
              <w:right w:type="dxa" w:w="80"/>
            </w:tcMar>
            <w:vAlign w:val="center"/>
          </w:tcPr>
          <w:p>
            <w:pPr>
              <w:jc w:val="center"/>
            </w:pPr>
            <w:r>
              <w:rPr>
                <w:rFonts w:ascii="Arial" w:cs="Arial" w:eastAsia="Arial" w:hAnsi="Arial"/>
                <w:sz w:val="22"/>
                <w:szCs w:val="22"/>
              </w:rPr>
              <w:t xml:space="preserve">📈</w:t>
            </w:r>
          </w:p>
        </w:tc>
        <w:tc>
          <w:tcPr>
            <w:tcW w:type="dxa" w:w="8760"/>
            <w:tcBorders>
              <w:top w:val="single" w:color="CCCCCC" w:sz="4"/>
              <w:left w:val="single" w:color="CCCCCC" w:sz="4"/>
              <w:bottom w:val="single" w:color="CCCCCC" w:sz="4"/>
              <w:right w:val="single" w:color="CCCCCC" w:sz="4"/>
            </w:tcBorders>
            <w:shd w:fill="EBF4FB" w:val="clear"/>
            <w:tcMar>
              <w:top w:type="dxa" w:w="100"/>
              <w:left w:type="dxa" w:w="160"/>
              <w:bottom w:type="dxa" w:w="100"/>
              <w:right w:type="dxa" w:w="160"/>
            </w:tcMar>
          </w:tcPr>
          <w:p>
            <w:r>
              <w:rPr>
                <w:rFonts w:ascii="Arial" w:cs="Arial" w:eastAsia="Arial" w:hAnsi="Arial"/>
                <w:color w:val="333333"/>
                <w:sz w:val="20"/>
                <w:szCs w:val="20"/>
              </w:rPr>
              <w:t xml:space="preserve">Assessed value has risen 29% since 2021 ($7.09M → $9.15M), which directly drives higher tax bills each year.</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80"/>
              <w:bottom w:type="dxa" w:w="100"/>
              <w:right w:type="dxa" w:w="80"/>
            </w:tcMar>
            <w:vAlign w:val="center"/>
          </w:tcPr>
          <w:p>
            <w:pPr>
              <w:jc w:val="center"/>
            </w:pPr>
            <w:r>
              <w:rPr>
                <w:rFonts w:ascii="Arial" w:cs="Arial" w:eastAsia="Arial" w:hAnsi="Arial"/>
                <w:sz w:val="22"/>
                <w:szCs w:val="22"/>
              </w:rPr>
              <w:t xml:space="preserve">🏆</w:t>
            </w:r>
          </w:p>
        </w:tc>
        <w:tc>
          <w:tcPr>
            <w:tcW w:type="dxa" w:w="87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color w:val="333333"/>
                <w:sz w:val="20"/>
                <w:szCs w:val="20"/>
              </w:rPr>
              <w:t xml:space="preserve">The 2025 tax appeal was a clear win: $7,348.50 net savings to the owner after paying CBRE's contingency fee — a zero-risk investment.</w:t>
            </w:r>
          </w:p>
        </w:tc>
      </w:tr>
      <w:tr>
        <w:tc>
          <w:tcPr>
            <w:tcW w:type="dxa" w:w="600"/>
            <w:tcBorders>
              <w:top w:val="single" w:color="CCCCCC" w:sz="4"/>
              <w:left w:val="single" w:color="CCCCCC" w:sz="4"/>
              <w:bottom w:val="single" w:color="CCCCCC" w:sz="4"/>
              <w:right w:val="single" w:color="CCCCCC" w:sz="4"/>
            </w:tcBorders>
            <w:shd w:fill="EBF4FB" w:val="clear"/>
            <w:tcMar>
              <w:top w:type="dxa" w:w="100"/>
              <w:left w:type="dxa" w:w="80"/>
              <w:bottom w:type="dxa" w:w="100"/>
              <w:right w:type="dxa" w:w="80"/>
            </w:tcMar>
            <w:vAlign w:val="center"/>
          </w:tcPr>
          <w:p>
            <w:pPr>
              <w:jc w:val="center"/>
            </w:pPr>
            <w:r>
              <w:rPr>
                <w:rFonts w:ascii="Arial" w:cs="Arial" w:eastAsia="Arial" w:hAnsi="Arial"/>
                <w:sz w:val="22"/>
                <w:szCs w:val="22"/>
              </w:rPr>
              <w:t xml:space="preserve">💰</w:t>
            </w:r>
          </w:p>
        </w:tc>
        <w:tc>
          <w:tcPr>
            <w:tcW w:type="dxa" w:w="8760"/>
            <w:tcBorders>
              <w:top w:val="single" w:color="CCCCCC" w:sz="4"/>
              <w:left w:val="single" w:color="CCCCCC" w:sz="4"/>
              <w:bottom w:val="single" w:color="CCCCCC" w:sz="4"/>
              <w:right w:val="single" w:color="CCCCCC" w:sz="4"/>
            </w:tcBorders>
            <w:shd w:fill="EBF4FB" w:val="clear"/>
            <w:tcMar>
              <w:top w:type="dxa" w:w="100"/>
              <w:left w:type="dxa" w:w="160"/>
              <w:bottom w:type="dxa" w:w="100"/>
              <w:right w:type="dxa" w:w="160"/>
            </w:tcMar>
          </w:tcPr>
          <w:p>
            <w:r>
              <w:rPr>
                <w:rFonts w:ascii="Arial" w:cs="Arial" w:eastAsia="Arial" w:hAnsi="Arial"/>
                <w:color w:val="333333"/>
                <w:sz w:val="20"/>
                <w:szCs w:val="20"/>
              </w:rPr>
              <w:t xml:space="preserve">Total real estate taxes have grown 27% over 5 years ($130K → $165K). Most of the increase is assessment-driven, not rate-driven — the millage rate held steady at 17.7412.</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80"/>
              <w:bottom w:type="dxa" w:w="100"/>
              <w:right w:type="dxa" w:w="80"/>
            </w:tcMar>
            <w:vAlign w:val="center"/>
          </w:tcPr>
          <w:p>
            <w:pPr>
              <w:jc w:val="center"/>
            </w:pPr>
            <w:r>
              <w:rPr>
                <w:rFonts w:ascii="Arial" w:cs="Arial" w:eastAsia="Arial" w:hAnsi="Arial"/>
                <w:sz w:val="22"/>
                <w:szCs w:val="22"/>
              </w:rPr>
              <w:t xml:space="preserve">📊</w:t>
            </w:r>
          </w:p>
        </w:tc>
        <w:tc>
          <w:tcPr>
            <w:tcW w:type="dxa" w:w="87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color w:val="333333"/>
                <w:sz w:val="20"/>
                <w:szCs w:val="20"/>
              </w:rPr>
              <w:t xml:space="preserve">The City of Jacksonville accounts for ~63% of all ad valorem taxes — it's the single largest tax line item.</w:t>
            </w:r>
          </w:p>
        </w:tc>
      </w:tr>
      <w:tr>
        <w:tc>
          <w:tcPr>
            <w:tcW w:type="dxa" w:w="600"/>
            <w:tcBorders>
              <w:top w:val="single" w:color="CCCCCC" w:sz="4"/>
              <w:left w:val="single" w:color="CCCCCC" w:sz="4"/>
              <w:bottom w:val="single" w:color="CCCCCC" w:sz="4"/>
              <w:right w:val="single" w:color="CCCCCC" w:sz="4"/>
            </w:tcBorders>
            <w:shd w:fill="EBF4FB" w:val="clear"/>
            <w:tcMar>
              <w:top w:type="dxa" w:w="100"/>
              <w:left w:type="dxa" w:w="80"/>
              <w:bottom w:type="dxa" w:w="100"/>
              <w:right w:type="dxa" w:w="80"/>
            </w:tcMar>
            <w:vAlign w:val="center"/>
          </w:tcPr>
          <w:p>
            <w:pPr>
              <w:jc w:val="center"/>
            </w:pPr>
            <w:r>
              <w:rPr>
                <w:rFonts w:ascii="Arial" w:cs="Arial" w:eastAsia="Arial" w:hAnsi="Arial"/>
                <w:sz w:val="22"/>
                <w:szCs w:val="22"/>
              </w:rPr>
              <w:t xml:space="preserve">🔒</w:t>
            </w:r>
          </w:p>
        </w:tc>
        <w:tc>
          <w:tcPr>
            <w:tcW w:type="dxa" w:w="8760"/>
            <w:tcBorders>
              <w:top w:val="single" w:color="CCCCCC" w:sz="4"/>
              <w:left w:val="single" w:color="CCCCCC" w:sz="4"/>
              <w:bottom w:val="single" w:color="CCCCCC" w:sz="4"/>
              <w:right w:val="single" w:color="CCCCCC" w:sz="4"/>
            </w:tcBorders>
            <w:shd w:fill="EBF4FB" w:val="clear"/>
            <w:tcMar>
              <w:top w:type="dxa" w:w="100"/>
              <w:left w:type="dxa" w:w="160"/>
              <w:bottom w:type="dxa" w:w="100"/>
              <w:right w:type="dxa" w:w="160"/>
            </w:tcMar>
          </w:tcPr>
          <w:p>
            <w:r>
              <w:rPr>
                <w:rFonts w:ascii="Arial" w:cs="Arial" w:eastAsia="Arial" w:hAnsi="Arial"/>
                <w:color w:val="333333"/>
                <w:sz w:val="20"/>
                <w:szCs w:val="20"/>
              </w:rPr>
              <w:t xml:space="preserve">Stormwater (Non-Ad Valorem) has been completely flat at $3,379.20/year since at least 2021 — a predictable, fixed cost.</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80"/>
              <w:bottom w:type="dxa" w:w="100"/>
              <w:right w:type="dxa" w:w="80"/>
            </w:tcMar>
            <w:vAlign w:val="center"/>
          </w:tcPr>
          <w:p>
            <w:pPr>
              <w:jc w:val="center"/>
            </w:pPr>
            <w:r>
              <w:rPr>
                <w:rFonts w:ascii="Arial" w:cs="Arial" w:eastAsia="Arial" w:hAnsi="Arial"/>
                <w:sz w:val="22"/>
                <w:szCs w:val="22"/>
              </w:rPr>
              <w:t xml:space="preserve">🗓️</w:t>
            </w:r>
          </w:p>
        </w:tc>
        <w:tc>
          <w:tcPr>
            <w:tcW w:type="dxa" w:w="87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color w:val="333333"/>
                <w:sz w:val="20"/>
                <w:szCs w:val="20"/>
              </w:rPr>
              <w:t xml:space="preserve">Paying taxes early (by November) earns a 4% discount — worth $6,629 in 2026. This is real money to capture every year.</w:t>
            </w:r>
          </w:p>
        </w:tc>
      </w:tr>
      <w:tr>
        <w:tc>
          <w:tcPr>
            <w:tcW w:type="dxa" w:w="600"/>
            <w:tcBorders>
              <w:top w:val="single" w:color="CCCCCC" w:sz="4"/>
              <w:left w:val="single" w:color="CCCCCC" w:sz="4"/>
              <w:bottom w:val="single" w:color="CCCCCC" w:sz="4"/>
              <w:right w:val="single" w:color="CCCCCC" w:sz="4"/>
            </w:tcBorders>
            <w:shd w:fill="EBF4FB" w:val="clear"/>
            <w:tcMar>
              <w:top w:type="dxa" w:w="100"/>
              <w:left w:type="dxa" w:w="80"/>
              <w:bottom w:type="dxa" w:w="100"/>
              <w:right w:type="dxa" w:w="80"/>
            </w:tcMar>
            <w:vAlign w:val="center"/>
          </w:tcPr>
          <w:p>
            <w:pPr>
              <w:jc w:val="center"/>
            </w:pPr>
            <w:r>
              <w:rPr>
                <w:rFonts w:ascii="Arial" w:cs="Arial" w:eastAsia="Arial" w:hAnsi="Arial"/>
                <w:sz w:val="22"/>
                <w:szCs w:val="22"/>
              </w:rPr>
              <w:t xml:space="preserve">🏠</w:t>
            </w:r>
          </w:p>
        </w:tc>
        <w:tc>
          <w:tcPr>
            <w:tcW w:type="dxa" w:w="8760"/>
            <w:tcBorders>
              <w:top w:val="single" w:color="CCCCCC" w:sz="4"/>
              <w:left w:val="single" w:color="CCCCCC" w:sz="4"/>
              <w:bottom w:val="single" w:color="CCCCCC" w:sz="4"/>
              <w:right w:val="single" w:color="CCCCCC" w:sz="4"/>
            </w:tcBorders>
            <w:shd w:fill="EBF4FB" w:val="clear"/>
            <w:tcMar>
              <w:top w:type="dxa" w:w="100"/>
              <w:left w:type="dxa" w:w="160"/>
              <w:bottom w:type="dxa" w:w="100"/>
              <w:right w:type="dxa" w:w="160"/>
            </w:tcMar>
          </w:tcPr>
          <w:p>
            <w:r>
              <w:rPr>
                <w:rFonts w:ascii="Arial" w:cs="Arial" w:eastAsia="Arial" w:hAnsi="Arial"/>
                <w:color w:val="333333"/>
                <w:sz w:val="20"/>
                <w:szCs w:val="20"/>
              </w:rPr>
              <w:t xml:space="preserve">Tangible Personal Property tax is minimal. With $39,195.78 in assets minus the $25,000 exemption, the taxable base is only ~$14,196, resulting in roughly $251/year in TPP tax.</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80"/>
              <w:bottom w:type="dxa" w:w="100"/>
              <w:right w:type="dxa" w:w="80"/>
            </w:tcMar>
            <w:vAlign w:val="center"/>
          </w:tcPr>
          <w:p>
            <w:pPr>
              <w:jc w:val="center"/>
            </w:pPr>
            <w:r>
              <w:rPr>
                <w:rFonts w:ascii="Arial" w:cs="Arial" w:eastAsia="Arial" w:hAnsi="Arial"/>
                <w:sz w:val="22"/>
                <w:szCs w:val="22"/>
              </w:rPr>
              <w:t xml:space="preserve">🎯</w:t>
            </w:r>
          </w:p>
        </w:tc>
        <w:tc>
          <w:tcPr>
            <w:tcW w:type="dxa" w:w="876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color w:val="333333"/>
                <w:sz w:val="20"/>
                <w:szCs w:val="20"/>
              </w:rPr>
              <w:t xml:space="preserve">If a 2026 appeal produces the same result as 2025 (~5.94% reduction), the net payable would drop from ~$159K to ~$149,800 — saving another ~$7,000+ after CBRE fees.</w:t>
            </w:r>
          </w:p>
        </w:tc>
      </w:tr>
      <w:tr>
        <w:tc>
          <w:tcPr>
            <w:tcW w:type="dxa" w:w="600"/>
            <w:tcBorders>
              <w:top w:val="single" w:color="CCCCCC" w:sz="4"/>
              <w:left w:val="single" w:color="CCCCCC" w:sz="4"/>
              <w:bottom w:val="single" w:color="CCCCCC" w:sz="4"/>
              <w:right w:val="single" w:color="CCCCCC" w:sz="4"/>
            </w:tcBorders>
            <w:shd w:fill="EBF4FB" w:val="clear"/>
            <w:tcMar>
              <w:top w:type="dxa" w:w="100"/>
              <w:left w:type="dxa" w:w="80"/>
              <w:bottom w:type="dxa" w:w="100"/>
              <w:right w:type="dxa" w:w="80"/>
            </w:tcMar>
            <w:vAlign w:val="center"/>
          </w:tcPr>
          <w:p>
            <w:pPr>
              <w:jc w:val="center"/>
            </w:pPr>
            <w:r>
              <w:rPr>
                <w:rFonts w:ascii="Arial" w:cs="Arial" w:eastAsia="Arial" w:hAnsi="Arial"/>
                <w:sz w:val="22"/>
                <w:szCs w:val="22"/>
              </w:rPr>
              <w:t xml:space="preserve">📋</w:t>
            </w:r>
          </w:p>
        </w:tc>
        <w:tc>
          <w:tcPr>
            <w:tcW w:type="dxa" w:w="8760"/>
            <w:tcBorders>
              <w:top w:val="single" w:color="CCCCCC" w:sz="4"/>
              <w:left w:val="single" w:color="CCCCCC" w:sz="4"/>
              <w:bottom w:val="single" w:color="CCCCCC" w:sz="4"/>
              <w:right w:val="single" w:color="CCCCCC" w:sz="4"/>
            </w:tcBorders>
            <w:shd w:fill="EBF4FB" w:val="clear"/>
            <w:tcMar>
              <w:top w:type="dxa" w:w="100"/>
              <w:left w:type="dxa" w:w="160"/>
              <w:bottom w:type="dxa" w:w="100"/>
              <w:right w:type="dxa" w:w="160"/>
            </w:tcMar>
          </w:tcPr>
          <w:p>
            <w:r>
              <w:rPr>
                <w:rFonts w:ascii="Arial" w:cs="Arial" w:eastAsia="Arial" w:hAnsi="Arial"/>
                <w:color w:val="333333"/>
                <w:sz w:val="20"/>
                <w:szCs w:val="20"/>
              </w:rPr>
              <w:t xml:space="preserve">CBRE's 20% contingency model means the owner pays nothing unless the appeal saves money. This is a pure upside arrangement.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140"/>
              <w:left w:type="dxa" w:w="300"/>
              <w:bottom w:type="dxa" w:w="140"/>
              <w:right w:type="dxa" w:w="300"/>
            </w:tcMar>
          </w:tcPr>
          <w:p>
            <w:r>
              <w:rPr>
                <w:rFonts w:ascii="Arial" w:cs="Arial" w:eastAsia="Arial" w:hAnsi="Arial"/>
                <w:b/>
                <w:bCs/>
                <w:caps/>
                <w:color w:val="FFFFFF"/>
                <w:sz w:val="26"/>
                <w:szCs w:val="26"/>
              </w:rPr>
              <w:t xml:space="preserve">Section 8 — Supporting Document Library</w:t>
            </w:r>
          </w:p>
        </w:tc>
      </w:tr>
    </w:tbl>
    <w:p>
      <w:pPr>
        <w:spacing w:after="0" w:before="120"/>
      </w:pPr>
    </w:p>
    <w:p>
      <w:pPr>
        <w:spacing w:after="60" w:before="80"/>
      </w:pPr>
      <w:r>
        <w:rPr>
          <w:rFonts w:ascii="Arial" w:cs="Arial" w:eastAsia="Arial" w:hAnsi="Arial"/>
          <w:color w:val="333333"/>
          <w:sz w:val="20"/>
          <w:szCs w:val="20"/>
        </w:rPr>
        <w:t xml:space="preserve">The spreadsheet's final section is a master index of every tax-related file associated with this property — stored in the team's Google Drive under the folder "12 - Property Taxes." This index allows anyone to quickly find the source document behind any number in the spreadsheet.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3120"/>
      </w:tblGrid>
      <w:tr>
        <w:tc>
          <w:tcPr>
            <w:tcW w:type="dxa" w:w="4680"/>
            <w:tcBorders>
              <w:top w:val="single" w:color="9B1C1C" w:sz="6"/>
              <w:left w:val="single" w:color="9B1C1C" w:sz="6"/>
              <w:bottom w:val="single" w:color="9B1C1C" w:sz="6"/>
              <w:right w:val="single" w:color="9B1C1C" w:sz="6"/>
            </w:tcBorders>
            <w:shd w:fill="9B1C1C"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Document / File</w:t>
            </w:r>
          </w:p>
        </w:tc>
        <w:tc>
          <w:tcPr>
            <w:tcW w:type="dxa" w:w="1560"/>
            <w:tcBorders>
              <w:top w:val="single" w:color="9B1C1C" w:sz="6"/>
              <w:left w:val="single" w:color="9B1C1C" w:sz="6"/>
              <w:bottom w:val="single" w:color="9B1C1C" w:sz="6"/>
              <w:right w:val="single" w:color="9B1C1C" w:sz="6"/>
            </w:tcBorders>
            <w:shd w:fill="9B1C1C"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Date</w:t>
            </w:r>
          </w:p>
        </w:tc>
        <w:tc>
          <w:tcPr>
            <w:tcW w:type="dxa" w:w="3120"/>
            <w:tcBorders>
              <w:top w:val="single" w:color="9B1C1C" w:sz="6"/>
              <w:left w:val="single" w:color="9B1C1C" w:sz="6"/>
              <w:bottom w:val="single" w:color="9B1C1C" w:sz="6"/>
              <w:right w:val="single" w:color="9B1C1C" w:sz="6"/>
            </w:tcBorders>
            <w:shd w:fill="9B1C1C"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Type</w:t>
            </w:r>
          </w:p>
        </w:tc>
      </w:tr>
      <w:tr>
        <w:tc>
          <w:tcPr>
            <w:tcW w:type="dxa" w:w="468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2026 Annual Tax Bill (Duval County)</w:t>
            </w:r>
          </w:p>
        </w:tc>
        <w:tc>
          <w:tcPr>
            <w:tcW w:type="dxa" w:w="15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Arial" w:cs="Arial" w:eastAsia="Arial" w:hAnsi="Arial"/>
                <w:b w:val="false"/>
                <w:bCs w:val="false"/>
                <w:color w:val="555555"/>
                <w:sz w:val="17"/>
                <w:szCs w:val="17"/>
              </w:rPr>
              <w:t xml:space="preserve">Feb 2026</w:t>
            </w:r>
          </w:p>
        </w:tc>
        <w:tc>
          <w:tcPr>
            <w:tcW w:type="dxa" w:w="312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Arial" w:cs="Arial" w:eastAsia="Arial" w:hAnsi="Arial"/>
                <w:b w:val="false"/>
                <w:bCs w:val="false"/>
                <w:color w:val="2E6DA4"/>
                <w:sz w:val="17"/>
                <w:szCs w:val="17"/>
              </w:rPr>
              <w:t xml:space="preserve">PDF</w:t>
            </w:r>
          </w:p>
        </w:tc>
      </w:tr>
      <w:tr>
        <w:tc>
          <w:tcPr>
            <w:tcW w:type="dxa" w:w="4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Red Raider 45 Property Taxes 2025–2026</w:t>
            </w:r>
          </w:p>
        </w:tc>
        <w:tc>
          <w:tcPr>
            <w:tcW w:type="dxa" w:w="1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color w:val="555555"/>
                <w:sz w:val="17"/>
                <w:szCs w:val="17"/>
              </w:rPr>
              <w:t xml:space="preserve">Feb 2026</w:t>
            </w:r>
          </w:p>
        </w:tc>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color w:val="2E6DA4"/>
                <w:sz w:val="17"/>
                <w:szCs w:val="17"/>
              </w:rPr>
              <w:t xml:space="preserve">Excel</w:t>
            </w:r>
          </w:p>
        </w:tc>
      </w:tr>
      <w:tr>
        <w:tc>
          <w:tcPr>
            <w:tcW w:type="dxa" w:w="468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Taxes Database (this file)</w:t>
            </w:r>
          </w:p>
        </w:tc>
        <w:tc>
          <w:tcPr>
            <w:tcW w:type="dxa" w:w="15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Arial" w:cs="Arial" w:eastAsia="Arial" w:hAnsi="Arial"/>
                <w:b w:val="false"/>
                <w:bCs w:val="false"/>
                <w:color w:val="555555"/>
                <w:sz w:val="17"/>
                <w:szCs w:val="17"/>
              </w:rPr>
              <w:t xml:space="preserve">Mar 2026</w:t>
            </w:r>
          </w:p>
        </w:tc>
        <w:tc>
          <w:tcPr>
            <w:tcW w:type="dxa" w:w="312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Arial" w:cs="Arial" w:eastAsia="Arial" w:hAnsi="Arial"/>
                <w:b w:val="false"/>
                <w:bCs w:val="false"/>
                <w:color w:val="2E6DA4"/>
                <w:sz w:val="17"/>
                <w:szCs w:val="17"/>
              </w:rPr>
              <w:t xml:space="preserve">Excel</w:t>
            </w:r>
          </w:p>
        </w:tc>
      </w:tr>
      <w:tr>
        <w:tc>
          <w:tcPr>
            <w:tcW w:type="dxa" w:w="4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CBRE Tax Appeal Report #134300-2-25</w:t>
            </w:r>
          </w:p>
        </w:tc>
        <w:tc>
          <w:tcPr>
            <w:tcW w:type="dxa" w:w="1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color w:val="555555"/>
                <w:sz w:val="17"/>
                <w:szCs w:val="17"/>
              </w:rPr>
              <w:t xml:space="preserve">Jan 2026</w:t>
            </w:r>
          </w:p>
        </w:tc>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color w:val="2E6DA4"/>
                <w:sz w:val="17"/>
                <w:szCs w:val="17"/>
              </w:rPr>
              <w:t xml:space="preserve">PDF</w:t>
            </w:r>
          </w:p>
        </w:tc>
      </w:tr>
      <w:tr>
        <w:tc>
          <w:tcPr>
            <w:tcW w:type="dxa" w:w="468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Guide to Property Tax Appeal — Duval Co.</w:t>
            </w:r>
          </w:p>
        </w:tc>
        <w:tc>
          <w:tcPr>
            <w:tcW w:type="dxa" w:w="15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Arial" w:cs="Arial" w:eastAsia="Arial" w:hAnsi="Arial"/>
                <w:b w:val="false"/>
                <w:bCs w:val="false"/>
                <w:color w:val="555555"/>
                <w:sz w:val="17"/>
                <w:szCs w:val="17"/>
              </w:rPr>
              <w:t xml:space="preserve">Sep 2025</w:t>
            </w:r>
          </w:p>
        </w:tc>
        <w:tc>
          <w:tcPr>
            <w:tcW w:type="dxa" w:w="312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Arial" w:cs="Arial" w:eastAsia="Arial" w:hAnsi="Arial"/>
                <w:b w:val="false"/>
                <w:bCs w:val="false"/>
                <w:color w:val="2E6DA4"/>
                <w:sz w:val="17"/>
                <w:szCs w:val="17"/>
              </w:rPr>
              <w:t xml:space="preserve">Word</w:t>
            </w:r>
          </w:p>
        </w:tc>
      </w:tr>
      <w:tr>
        <w:tc>
          <w:tcPr>
            <w:tcW w:type="dxa" w:w="4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DR-486 Appeal Form</w:t>
            </w:r>
          </w:p>
        </w:tc>
        <w:tc>
          <w:tcPr>
            <w:tcW w:type="dxa" w:w="1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color w:val="555555"/>
                <w:sz w:val="17"/>
                <w:szCs w:val="17"/>
              </w:rPr>
              <w:t xml:space="preserve">Sep 2025</w:t>
            </w:r>
          </w:p>
        </w:tc>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color w:val="2E6DA4"/>
                <w:sz w:val="17"/>
                <w:szCs w:val="17"/>
              </w:rPr>
              <w:t xml:space="preserve">Word</w:t>
            </w:r>
          </w:p>
        </w:tc>
      </w:tr>
      <w:tr>
        <w:tc>
          <w:tcPr>
            <w:tcW w:type="dxa" w:w="468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Occupancy Summary — Oasis At San Marco</w:t>
            </w:r>
          </w:p>
        </w:tc>
        <w:tc>
          <w:tcPr>
            <w:tcW w:type="dxa" w:w="15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Arial" w:cs="Arial" w:eastAsia="Arial" w:hAnsi="Arial"/>
                <w:b w:val="false"/>
                <w:bCs w:val="false"/>
                <w:color w:val="555555"/>
                <w:sz w:val="17"/>
                <w:szCs w:val="17"/>
              </w:rPr>
              <w:t xml:space="preserve">Sep 2025</w:t>
            </w:r>
          </w:p>
        </w:tc>
        <w:tc>
          <w:tcPr>
            <w:tcW w:type="dxa" w:w="312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Arial" w:cs="Arial" w:eastAsia="Arial" w:hAnsi="Arial"/>
                <w:b w:val="false"/>
                <w:bCs w:val="false"/>
                <w:color w:val="2E6DA4"/>
                <w:sz w:val="17"/>
                <w:szCs w:val="17"/>
              </w:rPr>
              <w:t xml:space="preserve">Excel</w:t>
            </w:r>
          </w:p>
        </w:tc>
      </w:tr>
      <w:tr>
        <w:tc>
          <w:tcPr>
            <w:tcW w:type="dxa" w:w="4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Open Work Orders — Oasis At San Marco</w:t>
            </w:r>
          </w:p>
        </w:tc>
        <w:tc>
          <w:tcPr>
            <w:tcW w:type="dxa" w:w="1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color w:val="555555"/>
                <w:sz w:val="17"/>
                <w:szCs w:val="17"/>
              </w:rPr>
              <w:t xml:space="preserve">Sep 2025</w:t>
            </w:r>
          </w:p>
        </w:tc>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color w:val="2E6DA4"/>
                <w:sz w:val="17"/>
                <w:szCs w:val="17"/>
              </w:rPr>
              <w:t xml:space="preserve">Excel</w:t>
            </w:r>
          </w:p>
        </w:tc>
      </w:tr>
      <w:tr>
        <w:tc>
          <w:tcPr>
            <w:tcW w:type="dxa" w:w="468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Rent Roll — Oasis At San Marco</w:t>
            </w:r>
          </w:p>
        </w:tc>
        <w:tc>
          <w:tcPr>
            <w:tcW w:type="dxa" w:w="15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Arial" w:cs="Arial" w:eastAsia="Arial" w:hAnsi="Arial"/>
                <w:b w:val="false"/>
                <w:bCs w:val="false"/>
                <w:color w:val="555555"/>
                <w:sz w:val="17"/>
                <w:szCs w:val="17"/>
              </w:rPr>
              <w:t xml:space="preserve">Sep 2025</w:t>
            </w:r>
          </w:p>
        </w:tc>
        <w:tc>
          <w:tcPr>
            <w:tcW w:type="dxa" w:w="312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Arial" w:cs="Arial" w:eastAsia="Arial" w:hAnsi="Arial"/>
                <w:b w:val="false"/>
                <w:bCs w:val="false"/>
                <w:color w:val="2E6DA4"/>
                <w:sz w:val="17"/>
                <w:szCs w:val="17"/>
              </w:rPr>
              <w:t xml:space="preserve">Excel</w:t>
            </w:r>
          </w:p>
        </w:tc>
      </w:tr>
      <w:tr>
        <w:tc>
          <w:tcPr>
            <w:tcW w:type="dxa" w:w="4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Trailing T-12 Income Statement</w:t>
            </w:r>
          </w:p>
        </w:tc>
        <w:tc>
          <w:tcPr>
            <w:tcW w:type="dxa" w:w="1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color w:val="555555"/>
                <w:sz w:val="17"/>
                <w:szCs w:val="17"/>
              </w:rPr>
              <w:t xml:space="preserve">Sep 2025</w:t>
            </w:r>
          </w:p>
        </w:tc>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color w:val="2E6DA4"/>
                <w:sz w:val="17"/>
                <w:szCs w:val="17"/>
              </w:rPr>
              <w:t xml:space="preserve">Excel</w:t>
            </w:r>
          </w:p>
        </w:tc>
      </w:tr>
      <w:tr>
        <w:tc>
          <w:tcPr>
            <w:tcW w:type="dxa" w:w="468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Unit Vacancy Detail — Oasis At San Marco</w:t>
            </w:r>
          </w:p>
        </w:tc>
        <w:tc>
          <w:tcPr>
            <w:tcW w:type="dxa" w:w="15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Arial" w:cs="Arial" w:eastAsia="Arial" w:hAnsi="Arial"/>
                <w:b w:val="false"/>
                <w:bCs w:val="false"/>
                <w:color w:val="555555"/>
                <w:sz w:val="17"/>
                <w:szCs w:val="17"/>
              </w:rPr>
              <w:t xml:space="preserve">Sep 2025</w:t>
            </w:r>
          </w:p>
        </w:tc>
        <w:tc>
          <w:tcPr>
            <w:tcW w:type="dxa" w:w="312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Arial" w:cs="Arial" w:eastAsia="Arial" w:hAnsi="Arial"/>
                <w:b w:val="false"/>
                <w:bCs w:val="false"/>
                <w:color w:val="2E6DA4"/>
                <w:sz w:val="17"/>
                <w:szCs w:val="17"/>
              </w:rPr>
              <w:t xml:space="preserve">Excel</w:t>
            </w:r>
          </w:p>
        </w:tc>
      </w:tr>
      <w:tr>
        <w:tc>
          <w:tcPr>
            <w:tcW w:type="dxa" w:w="4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2025 TPP Tax Return (DR-405)</w:t>
            </w:r>
          </w:p>
        </w:tc>
        <w:tc>
          <w:tcPr>
            <w:tcW w:type="dxa" w:w="1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color w:val="555555"/>
                <w:sz w:val="17"/>
                <w:szCs w:val="17"/>
              </w:rPr>
              <w:t xml:space="preserve">2025</w:t>
            </w:r>
          </w:p>
        </w:tc>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color w:val="2E6DA4"/>
                <w:sz w:val="17"/>
                <w:szCs w:val="17"/>
              </w:rPr>
              <w:t xml:space="preserve">PDF</w:t>
            </w:r>
          </w:p>
        </w:tc>
      </w:tr>
      <w:tr>
        <w:tc>
          <w:tcPr>
            <w:tcW w:type="dxa" w:w="468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Annual Tax Bills 2013–2025</w:t>
            </w:r>
          </w:p>
        </w:tc>
        <w:tc>
          <w:tcPr>
            <w:tcW w:type="dxa" w:w="15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Arial" w:cs="Arial" w:eastAsia="Arial" w:hAnsi="Arial"/>
                <w:b w:val="false"/>
                <w:bCs w:val="false"/>
                <w:color w:val="555555"/>
                <w:sz w:val="17"/>
                <w:szCs w:val="17"/>
              </w:rPr>
              <w:t xml:space="preserve">2025</w:t>
            </w:r>
          </w:p>
        </w:tc>
        <w:tc>
          <w:tcPr>
            <w:tcW w:type="dxa" w:w="312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Arial" w:cs="Arial" w:eastAsia="Arial" w:hAnsi="Arial"/>
                <w:b w:val="false"/>
                <w:bCs w:val="false"/>
                <w:color w:val="2E6DA4"/>
                <w:sz w:val="17"/>
                <w:szCs w:val="17"/>
              </w:rPr>
              <w:t xml:space="preserve">PDF (13 files)</w:t>
            </w:r>
          </w:p>
        </w:tc>
      </w:tr>
      <w:tr>
        <w:tc>
          <w:tcPr>
            <w:tcW w:type="dxa" w:w="4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Cost Segregation Study</w:t>
            </w:r>
          </w:p>
        </w:tc>
        <w:tc>
          <w:tcPr>
            <w:tcW w:type="dxa" w:w="15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color w:val="555555"/>
                <w:sz w:val="17"/>
                <w:szCs w:val="17"/>
              </w:rPr>
              <w:t xml:space="preserve">2024</w:t>
            </w:r>
          </w:p>
        </w:tc>
        <w:tc>
          <w:tcPr>
            <w:tcW w:type="dxa" w:w="312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Arial" w:cs="Arial" w:eastAsia="Arial" w:hAnsi="Arial"/>
                <w:b w:val="false"/>
                <w:bCs w:val="false"/>
                <w:color w:val="2E6DA4"/>
                <w:sz w:val="17"/>
                <w:szCs w:val="17"/>
              </w:rPr>
              <w:t xml:space="preserve">Folder</w:t>
            </w:r>
          </w:p>
        </w:tc>
      </w:tr>
      <w:tr>
        <w:tc>
          <w:tcPr>
            <w:tcW w:type="dxa" w:w="468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7"/>
                <w:szCs w:val="17"/>
              </w:rPr>
              <w:t xml:space="preserve">1099-NEC / K1 / W-9s</w:t>
            </w:r>
          </w:p>
        </w:tc>
        <w:tc>
          <w:tcPr>
            <w:tcW w:type="dxa" w:w="15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Arial" w:cs="Arial" w:eastAsia="Arial" w:hAnsi="Arial"/>
                <w:b w:val="false"/>
                <w:bCs w:val="false"/>
                <w:color w:val="555555"/>
                <w:sz w:val="17"/>
                <w:szCs w:val="17"/>
              </w:rPr>
              <w:t xml:space="preserve">2025</w:t>
            </w:r>
          </w:p>
        </w:tc>
        <w:tc>
          <w:tcPr>
            <w:tcW w:type="dxa" w:w="312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Arial" w:cs="Arial" w:eastAsia="Arial" w:hAnsi="Arial"/>
                <w:b w:val="false"/>
                <w:bCs w:val="false"/>
                <w:color w:val="2E6DA4"/>
                <w:sz w:val="17"/>
                <w:szCs w:val="17"/>
              </w:rPr>
              <w:t xml:space="preserve">Folder</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2E6DA4" w:val="clear"/>
          </w:tcPr>
          <w:p/>
        </w:tc>
        <w:tc>
          <w:tcPr>
            <w:tcW w:type="dxa" w:w="9120"/>
            <w:tcBorders>
              <w:top w:val="none" w:color="FFFFFF" w:sz="0"/>
              <w:left w:val="none" w:color="FFFFFF" w:sz="0"/>
              <w:bottom w:val="none" w:color="FFFFFF" w:sz="0"/>
              <w:right w:val="none" w:color="FFFFFF" w:sz="0"/>
            </w:tcBorders>
            <w:shd w:fill="EBF4FB" w:val="clear"/>
            <w:tcMar>
              <w:top w:type="dxa" w:w="100"/>
              <w:left w:type="dxa" w:w="200"/>
              <w:bottom w:type="dxa" w:w="100"/>
              <w:right w:type="dxa" w:w="200"/>
            </w:tcMar>
          </w:tcPr>
          <w:p>
            <w:r>
              <w:rPr>
                <w:rFonts w:ascii="Arial" w:cs="Arial" w:eastAsia="Arial" w:hAnsi="Arial"/>
                <w:color w:val="1B3A5C"/>
                <w:sz w:val="20"/>
                <w:szCs w:val="20"/>
              </w:rPr>
              <w:t xml:space="preserve">The document library covers 13 years of annual tax bills (2013–2025) and all appeal evidence submitted to Duval County in September 2025. This creates a complete audit trail should any number ever need verification.</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240"/>
              <w:left w:type="dxa" w:w="400"/>
              <w:bottom w:type="dxa" w:w="240"/>
              <w:right w:type="dxa" w:w="400"/>
            </w:tcMar>
          </w:tcPr>
          <w:p>
            <w:pPr>
              <w:spacing w:after="80"/>
            </w:pPr>
            <w:r>
              <w:rPr>
                <w:rFonts w:ascii="Arial" w:cs="Arial" w:eastAsia="Arial" w:hAnsi="Arial"/>
                <w:b/>
                <w:bCs/>
                <w:color w:val="FFFFFF"/>
                <w:sz w:val="30"/>
                <w:szCs w:val="30"/>
              </w:rPr>
              <w:t xml:space="preserve">The Bottom Line</w:t>
            </w:r>
          </w:p>
          <w:p>
            <w:pPr>
              <w:spacing w:after="80"/>
            </w:pPr>
            <w:r>
              <w:rPr>
                <w:rFonts w:ascii="Arial" w:cs="Arial" w:eastAsia="Arial" w:hAnsi="Arial"/>
                <w:color w:val="D6E4F0"/>
                <w:sz w:val="20"/>
                <w:szCs w:val="20"/>
              </w:rPr>
              <w:t xml:space="preserve">Oasis at San Marco pays approximately $165,000/year in property taxes — one of the property's largest operating expenses. The team actively manages this cost through annual assessment appeals (CBRE, zero-risk contingency model) and by capturing the 4% early-payment discount every November. In 2025, these two strategies combined saved nearly $17,000 off the face of the bill. The same playbook is being applied to 2026.</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80"/>
      <w:gridCol w:w="3600"/>
    </w:tblGrid>
    <w:tr>
      <w:tc>
        <w:tcPr>
          <w:tcW w:type="dxa" w:w="6480"/>
          <w:tcBorders>
            <w:top w:val="single" w:color="2E6DA4" w:sz="8"/>
            <w:left w:val="none" w:color="FFFFFF" w:sz="0"/>
            <w:bottom w:val="none" w:color="FFFFFF" w:sz="0"/>
            <w:right w:val="none" w:color="FFFFFF" w:sz="0"/>
          </w:tcBorders>
          <w:shd w:fill="FFFFFF" w:val="clear"/>
          <w:tcMar>
            <w:top w:type="dxa" w:w="60"/>
            <w:left w:type="dxa" w:w="0"/>
            <w:bottom w:type="dxa" w:w="0"/>
            <w:right w:type="dxa" w:w="0"/>
          </w:tcMar>
        </w:tcPr>
        <w:p>
          <w:r>
            <w:rPr>
              <w:rFonts w:ascii="Arial" w:cs="Arial" w:eastAsia="Arial" w:hAnsi="Arial"/>
              <w:color w:val="555555"/>
              <w:sz w:val="16"/>
              <w:szCs w:val="16"/>
            </w:rPr>
            <w:t xml:space="preserve">Confidential — Red Raider 45 LLC | Last Updated: April 1, 2026</w:t>
          </w:r>
        </w:p>
      </w:tc>
      <w:tc>
        <w:tcPr>
          <w:tcW w:type="dxa" w:w="3600"/>
          <w:tcBorders>
            <w:top w:val="single" w:color="2E6DA4" w:sz="8"/>
            <w:left w:val="none" w:color="FFFFFF" w:sz="0"/>
            <w:bottom w:val="none" w:color="FFFFFF" w:sz="0"/>
            <w:right w:val="none" w:color="FFFFFF" w:sz="0"/>
          </w:tcBorders>
          <w:shd w:fill="FFFFFF" w:val="clear"/>
          <w:tcMar>
            <w:top w:type="dxa" w:w="60"/>
            <w:left w:type="dxa" w:w="0"/>
            <w:bottom w:type="dxa" w:w="0"/>
            <w:right w:type="dxa" w:w="0"/>
          </w:tcMar>
        </w:tcPr>
        <w:p>
          <w:pPr>
            <w:jc w:val="right"/>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80"/>
      <w:gridCol w:w="3600"/>
    </w:tblGrid>
    <w:tr>
      <w:tc>
        <w:tcPr>
          <w:tcW w:type="dxa" w:w="6480"/>
          <w:tcBorders>
            <w:top w:val="none" w:color="FFFFFF" w:sz="0"/>
            <w:left w:val="none" w:color="FFFFFF" w:sz="0"/>
            <w:bottom w:val="single" w:color="2E6DA4" w:sz="8"/>
            <w:right w:val="none" w:color="FFFFFF" w:sz="0"/>
          </w:tcBorders>
          <w:shd w:fill="FFFFFF" w:val="clear"/>
          <w:tcMar>
            <w:top w:type="dxa" w:w="60"/>
            <w:left w:type="dxa" w:w="0"/>
            <w:bottom w:type="dxa" w:w="60"/>
            <w:right w:type="dxa" w:w="0"/>
          </w:tcMar>
        </w:tcPr>
        <w:p>
          <w:r>
            <w:rPr>
              <w:rFonts w:ascii="Arial" w:cs="Arial" w:eastAsia="Arial" w:hAnsi="Arial"/>
              <w:b/>
              <w:bCs/>
              <w:color w:val="1B3A5C"/>
              <w:sz w:val="18"/>
              <w:szCs w:val="18"/>
            </w:rPr>
            <w:t xml:space="preserve">Oasis at San Marco — Property Tax Guide</w:t>
          </w:r>
        </w:p>
      </w:tc>
      <w:tc>
        <w:tcPr>
          <w:tcW w:type="dxa" w:w="3600"/>
          <w:tcBorders>
            <w:top w:val="none" w:color="FFFFFF" w:sz="0"/>
            <w:left w:val="none" w:color="FFFFFF" w:sz="0"/>
            <w:bottom w:val="single" w:color="2E6DA4" w:sz="8"/>
            <w:right w:val="none" w:color="FFFFFF" w:sz="0"/>
          </w:tcBorders>
          <w:shd w:fill="FFFFFF" w:val="clear"/>
          <w:tcMar>
            <w:top w:type="dxa" w:w="60"/>
            <w:left w:type="dxa" w:w="0"/>
            <w:bottom w:type="dxa" w:w="60"/>
            <w:right w:type="dxa" w:w="0"/>
          </w:tcMar>
        </w:tcPr>
        <w:p>
          <w:pPr>
            <w:jc w:val="right"/>
          </w:pPr>
          <w:r>
            <w:rPr>
              <w:rFonts w:ascii="Arial" w:cs="Arial" w:eastAsia="Arial" w:hAnsi="Arial"/>
              <w:color w:val="555555"/>
              <w:sz w:val="16"/>
              <w:szCs w:val="16"/>
            </w:rPr>
            <w:t xml:space="preserve">4800 Atlantic Blvd, Jacksonville, FL 32207</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2026-04-03T16:33:41.036Z</dcterms:created>
  <dcterms:modified xsi:type="dcterms:W3CDTF">2026-04-03T16:33:41.038Z</dcterms:modified>
</cp:coreProperties>
</file>

<file path=docProps/custom.xml><?xml version="1.0" encoding="utf-8"?>
<Properties xmlns="http://schemas.openxmlformats.org/officeDocument/2006/custom-properties" xmlns:vt="http://schemas.openxmlformats.org/officeDocument/2006/docPropsVTypes"/>
</file>