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282C" w14:textId="77777777" w:rsidR="000A7B31" w:rsidRDefault="000A7B31" w:rsidP="000A7B31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noProof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569B63FE" wp14:editId="2257EF33">
            <wp:simplePos x="0" y="0"/>
            <wp:positionH relativeFrom="column">
              <wp:posOffset>1614170</wp:posOffset>
            </wp:positionH>
            <wp:positionV relativeFrom="paragraph">
              <wp:posOffset>0</wp:posOffset>
            </wp:positionV>
            <wp:extent cx="2743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50" y="21046"/>
                <wp:lineTo x="21450" y="0"/>
                <wp:lineTo x="0" y="0"/>
              </wp:wrapPolygon>
            </wp:wrapTight>
            <wp:docPr id="1609631117" name="image1.png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pción generada automáticamente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D8E12C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07432FE1" w14:textId="77777777" w:rsidR="000A7B31" w:rsidRDefault="000A7B31" w:rsidP="000A7B31">
      <w:pPr>
        <w:jc w:val="center"/>
        <w:rPr>
          <w:rFonts w:eastAsia="Times New Roman" w:cs="Times New Roman"/>
          <w:b/>
          <w:szCs w:val="24"/>
        </w:rPr>
      </w:pPr>
    </w:p>
    <w:p w14:paraId="37906FFA" w14:textId="77777777" w:rsidR="000A7B31" w:rsidRDefault="000A7B31" w:rsidP="000A7B31">
      <w:pPr>
        <w:jc w:val="center"/>
        <w:rPr>
          <w:b/>
          <w:bCs/>
        </w:rPr>
      </w:pPr>
    </w:p>
    <w:p w14:paraId="774C2425" w14:textId="17406ED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4007CA">
        <w:rPr>
          <w:b/>
          <w:bCs/>
        </w:rPr>
        <w:t>EL BUEN VIVIR COMO ALTERNATIVA</w:t>
      </w:r>
    </w:p>
    <w:p w14:paraId="3F13A27E" w14:textId="30FA91F9" w:rsidR="000A7B31" w:rsidRDefault="000A7B31" w:rsidP="000A7B31">
      <w:pPr>
        <w:rPr>
          <w:rFonts w:eastAsia="Times New Roman" w:cs="Times New Roman"/>
          <w:szCs w:val="24"/>
        </w:rPr>
      </w:pPr>
    </w:p>
    <w:p w14:paraId="17BEC8B0" w14:textId="77777777" w:rsidR="000A7B31" w:rsidRPr="002A5799" w:rsidRDefault="000A7B31" w:rsidP="000A7B31">
      <w:pPr>
        <w:rPr>
          <w:rFonts w:eastAsia="Times New Roman" w:cs="Times New Roman"/>
          <w:szCs w:val="24"/>
        </w:rPr>
      </w:pPr>
    </w:p>
    <w:p w14:paraId="6F4D89C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AB4E25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2E1936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AUTOR(ES)</w:t>
      </w:r>
    </w:p>
    <w:p w14:paraId="42E14FA1" w14:textId="77777777" w:rsidR="000A7B31" w:rsidRPr="002A5799" w:rsidRDefault="000A7B31" w:rsidP="000A7B31">
      <w:pPr>
        <w:jc w:val="center"/>
      </w:pPr>
      <w:r w:rsidRPr="002A5799">
        <w:t>STEVEN MAURICIO CARDENAS CAPERA</w:t>
      </w:r>
    </w:p>
    <w:p w14:paraId="40A77823" w14:textId="45A75A57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4041A24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B89C2C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0C4C2C70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61518041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DOCENTE(S) ASESOR(ES)</w:t>
      </w:r>
    </w:p>
    <w:p w14:paraId="08E47989" w14:textId="552CAC5A" w:rsidR="000A7B31" w:rsidRDefault="000A7B31" w:rsidP="000A7B31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ÁLVARO DIAZ </w:t>
      </w:r>
    </w:p>
    <w:p w14:paraId="7CB52F49" w14:textId="4DE3EBBF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3BD7CB57" w14:textId="60A090FC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AE6FF39" w14:textId="1DE8F5D0" w:rsidR="000A7B31" w:rsidRDefault="000A7B31" w:rsidP="000A7B31">
      <w:pPr>
        <w:jc w:val="center"/>
        <w:rPr>
          <w:rFonts w:eastAsia="Times New Roman" w:cs="Times New Roman"/>
          <w:szCs w:val="24"/>
        </w:rPr>
      </w:pPr>
    </w:p>
    <w:p w14:paraId="0D2AFFE3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14B2AD7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2BB745C9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30FCF508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</w:p>
    <w:p w14:paraId="7350F28B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INSTITUTO TOLIMENSE DE FORMACIÓN TECNICA PROFESIONAL ITFIP</w:t>
      </w:r>
    </w:p>
    <w:p w14:paraId="0375B902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FACULTAD DE INGENIERIA Y CIENCIAS AGROINDUSTRIALES</w:t>
      </w:r>
    </w:p>
    <w:p w14:paraId="5647349A" w14:textId="77777777" w:rsidR="000A7B31" w:rsidRPr="00C6728F" w:rsidRDefault="000A7B31" w:rsidP="000A7B31">
      <w:pPr>
        <w:jc w:val="center"/>
        <w:rPr>
          <w:rFonts w:eastAsia="Times New Roman" w:cs="Times New Roman"/>
          <w:szCs w:val="24"/>
          <w:lang w:val="es-ES"/>
        </w:rPr>
      </w:pPr>
      <w:r w:rsidRPr="00C6728F">
        <w:rPr>
          <w:rFonts w:eastAsia="Times New Roman" w:cs="Times New Roman"/>
          <w:szCs w:val="24"/>
          <w:lang w:val="es-ES"/>
        </w:rPr>
        <w:t>TECNOLOGIA EN GESTION INFORMATICA</w:t>
      </w:r>
    </w:p>
    <w:p w14:paraId="04B9DE9A" w14:textId="77777777" w:rsidR="000A7B31" w:rsidRPr="002A5799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ESPINAL – TOLIMA</w:t>
      </w:r>
    </w:p>
    <w:p w14:paraId="0C324AFB" w14:textId="0D25C981" w:rsidR="000A7B31" w:rsidRPr="000A7B31" w:rsidRDefault="000A7B31" w:rsidP="000A7B31">
      <w:pPr>
        <w:jc w:val="center"/>
        <w:rPr>
          <w:rFonts w:eastAsia="Times New Roman" w:cs="Times New Roman"/>
          <w:szCs w:val="24"/>
        </w:rPr>
      </w:pPr>
      <w:r w:rsidRPr="002A5799">
        <w:rPr>
          <w:rFonts w:eastAsia="Times New Roman" w:cs="Times New Roman"/>
          <w:szCs w:val="24"/>
        </w:rPr>
        <w:t>2025</w:t>
      </w:r>
    </w:p>
    <w:p w14:paraId="5D669CAA" w14:textId="2457DA71" w:rsidR="00334769" w:rsidRDefault="004007CA">
      <w:r w:rsidRPr="004007CA">
        <w:rPr>
          <w:b/>
          <w:bCs/>
        </w:rPr>
        <w:lastRenderedPageBreak/>
        <w:t>Más allá del desarrollo: El buen vivir como alternativa</w:t>
      </w:r>
      <w:r w:rsidRPr="004007CA">
        <w:t xml:space="preserve"> </w:t>
      </w:r>
    </w:p>
    <w:p w14:paraId="68343B1C" w14:textId="661D6B55" w:rsidR="004007CA" w:rsidRDefault="004007CA">
      <w:r w:rsidRPr="004007CA">
        <w:t>Resumen</w:t>
      </w:r>
    </w:p>
    <w:p w14:paraId="11AB9591" w14:textId="745258D5" w:rsidR="004007CA" w:rsidRDefault="004007CA">
      <w:r w:rsidRPr="004007CA">
        <w:t xml:space="preserve">El texto contrapone el </w:t>
      </w:r>
      <w:r w:rsidRPr="004007CA">
        <w:rPr>
          <w:b/>
          <w:bCs/>
        </w:rPr>
        <w:t>buen vivir</w:t>
      </w:r>
      <w:r w:rsidRPr="004007CA">
        <w:t xml:space="preserve"> y el </w:t>
      </w:r>
      <w:r w:rsidRPr="004007CA">
        <w:rPr>
          <w:b/>
          <w:bCs/>
        </w:rPr>
        <w:t>postdesarrollo</w:t>
      </w:r>
      <w:r w:rsidRPr="004007CA">
        <w:t xml:space="preserve"> al modelo de desarrollo dominante —ese basado en crecimiento económico y modernización— proponiendo priorizar armonía con la naturaleza, comunidad, justicia social y sostenibilidad. Señala el carácter colonialista del modelo dominante y plantea repensar el desarrollo para valorizar diversidad cultural y recursos naturales.</w:t>
      </w:r>
    </w:p>
    <w:p w14:paraId="1626EA54" w14:textId="5A4492DE" w:rsidR="004007CA" w:rsidRDefault="004007CA">
      <w:r w:rsidRPr="004007CA">
        <w:t>Glosario</w:t>
      </w:r>
    </w:p>
    <w:p w14:paraId="096A34DB" w14:textId="714C8CDB" w:rsidR="004007CA" w:rsidRPr="004007CA" w:rsidRDefault="004007CA" w:rsidP="004007CA">
      <w:r w:rsidRPr="004007CA">
        <w:rPr>
          <w:b/>
          <w:bCs/>
        </w:rPr>
        <w:t>Buen vivir:</w:t>
      </w:r>
      <w:r w:rsidRPr="004007CA">
        <w:t xml:space="preserve"> Visión de vida plena y satisfactoria basada en la armonía con la naturaleza y la comunidad; más que un indicador económico, es un enfoque normativo y práctico sobre bienestar colectivo.</w:t>
      </w:r>
    </w:p>
    <w:p w14:paraId="4A7A6789" w14:textId="5BBB3848" w:rsidR="004007CA" w:rsidRPr="004007CA" w:rsidRDefault="004007CA" w:rsidP="004007CA">
      <w:r w:rsidRPr="004007CA">
        <w:rPr>
          <w:b/>
          <w:bCs/>
        </w:rPr>
        <w:t>Postdesarrollo:</w:t>
      </w:r>
      <w:r w:rsidRPr="004007CA">
        <w:t xml:space="preserve"> Corriente crítica que cuestiona la idea de “desarrollo” como crecimiento económico universal; propone alternativas localizadas, plurales y no hegemónicas.</w:t>
      </w:r>
    </w:p>
    <w:p w14:paraId="54E2D287" w14:textId="727C5E40" w:rsidR="004007CA" w:rsidRPr="004007CA" w:rsidRDefault="004007CA" w:rsidP="004007CA">
      <w:r w:rsidRPr="004007CA">
        <w:rPr>
          <w:b/>
          <w:bCs/>
        </w:rPr>
        <w:t>Modelo de desarrollo dominante:</w:t>
      </w:r>
      <w:r w:rsidRPr="004007CA">
        <w:t xml:space="preserve"> Paradigma económico y social que entiende el desarrollo como crecimiento, modernización y adopción de un mismo patrón occidental.</w:t>
      </w:r>
    </w:p>
    <w:p w14:paraId="1CB36421" w14:textId="2B960D6F" w:rsidR="004007CA" w:rsidRPr="004007CA" w:rsidRDefault="004007CA" w:rsidP="004007CA">
      <w:r w:rsidRPr="004007CA">
        <w:rPr>
          <w:b/>
          <w:bCs/>
        </w:rPr>
        <w:t>Crecimiento económico:</w:t>
      </w:r>
      <w:r w:rsidRPr="004007CA">
        <w:t xml:space="preserve"> Aumento cuantitativo de la producción y consumo medido por indicadores como el PIB.</w:t>
      </w:r>
    </w:p>
    <w:p w14:paraId="29150CB9" w14:textId="2182BEF0" w:rsidR="004007CA" w:rsidRPr="004007CA" w:rsidRDefault="004007CA" w:rsidP="004007CA">
      <w:r w:rsidRPr="004007CA">
        <w:rPr>
          <w:b/>
          <w:bCs/>
        </w:rPr>
        <w:t>Modernización:</w:t>
      </w:r>
      <w:r w:rsidRPr="004007CA">
        <w:t xml:space="preserve"> Proceso de transformación social y tecnológica asociado a industrialización y “progreso” según estándares occidentales.</w:t>
      </w:r>
    </w:p>
    <w:p w14:paraId="2795DAAB" w14:textId="79E939C9" w:rsidR="004007CA" w:rsidRPr="004007CA" w:rsidRDefault="004007CA" w:rsidP="004007CA">
      <w:r w:rsidRPr="004007CA">
        <w:rPr>
          <w:b/>
          <w:bCs/>
        </w:rPr>
        <w:t>Sustentabilidad / sostenible:</w:t>
      </w:r>
      <w:r w:rsidRPr="004007CA">
        <w:t xml:space="preserve"> Capacidad de satisfacer necesidades presentes sin comprometer la capacidad de las futuras generaciones; aquí con énfasis en justicia social y conservación ambiental.</w:t>
      </w:r>
    </w:p>
    <w:p w14:paraId="3AF29435" w14:textId="12A5308D" w:rsidR="004007CA" w:rsidRPr="004007CA" w:rsidRDefault="004007CA" w:rsidP="004007CA">
      <w:r w:rsidRPr="004007CA">
        <w:rPr>
          <w:b/>
          <w:bCs/>
        </w:rPr>
        <w:t>Colonialismo (forma de):</w:t>
      </w:r>
      <w:r w:rsidRPr="004007CA">
        <w:t xml:space="preserve"> En este contexto, idea y prácticas que imponen modelos externos de organización y valores, relegando saberes locales.</w:t>
      </w:r>
    </w:p>
    <w:p w14:paraId="072C970A" w14:textId="7FA82DB3" w:rsidR="004007CA" w:rsidRPr="004007CA" w:rsidRDefault="004007CA" w:rsidP="004007CA">
      <w:r w:rsidRPr="004007CA">
        <w:rPr>
          <w:b/>
          <w:bCs/>
        </w:rPr>
        <w:t>Armonía con la naturaleza:</w:t>
      </w:r>
      <w:r w:rsidRPr="004007CA">
        <w:t xml:space="preserve"> Principio que prioriza la interdependencia entre seres humanos y ecosistemas, frente a la explotación extractiva.</w:t>
      </w:r>
    </w:p>
    <w:p w14:paraId="54AB0FAE" w14:textId="08D85F5F" w:rsidR="004007CA" w:rsidRPr="004007CA" w:rsidRDefault="004007CA" w:rsidP="004007CA">
      <w:r w:rsidRPr="004007CA">
        <w:rPr>
          <w:b/>
          <w:bCs/>
        </w:rPr>
        <w:t>Diversidad cultural:</w:t>
      </w:r>
      <w:r w:rsidRPr="004007CA">
        <w:t xml:space="preserve"> Reconocimiento y valoración de múltiples formas de vida, saberes y prácticas sociales.</w:t>
      </w:r>
    </w:p>
    <w:p w14:paraId="13C336BA" w14:textId="6FCF7083" w:rsidR="004007CA" w:rsidRDefault="004007CA"/>
    <w:p w14:paraId="041C49DB" w14:textId="4C49F833" w:rsidR="004007CA" w:rsidRDefault="004007CA"/>
    <w:p w14:paraId="4CC3ABB8" w14:textId="099FA0F7" w:rsidR="004007CA" w:rsidRDefault="004007CA"/>
    <w:p w14:paraId="4BEEE584" w14:textId="26E7E53A" w:rsidR="004007CA" w:rsidRDefault="004007CA"/>
    <w:p w14:paraId="2951A79B" w14:textId="3C97AE5D" w:rsidR="004007CA" w:rsidRDefault="004007CA"/>
    <w:p w14:paraId="22090373" w14:textId="4ED60833" w:rsidR="004007CA" w:rsidRDefault="004007CA"/>
    <w:p w14:paraId="040579ED" w14:textId="61233411" w:rsidR="004007CA" w:rsidRDefault="004007CA"/>
    <w:p w14:paraId="1E914825" w14:textId="3A9F7131" w:rsidR="004007CA" w:rsidRDefault="00F35333">
      <w:r>
        <w:lastRenderedPageBreak/>
        <w:t>Mapa conceptual</w:t>
      </w:r>
    </w:p>
    <w:p w14:paraId="11C634E7" w14:textId="0F8811A1" w:rsidR="00F35333" w:rsidRDefault="00682703">
      <w:r>
        <w:rPr>
          <w:noProof/>
        </w:rPr>
        <w:drawing>
          <wp:inline distT="0" distB="0" distL="0" distR="0" wp14:anchorId="5C574C83" wp14:editId="603285C0">
            <wp:extent cx="5612130" cy="42094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46C0" w14:textId="77777777" w:rsidR="004007CA" w:rsidRDefault="004007CA"/>
    <w:sectPr w:rsidR="00400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CA"/>
    <w:rsid w:val="000A7B31"/>
    <w:rsid w:val="00334769"/>
    <w:rsid w:val="004007CA"/>
    <w:rsid w:val="00682703"/>
    <w:rsid w:val="00BC7AEA"/>
    <w:rsid w:val="00F3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A9C2"/>
  <w15:chartTrackingRefBased/>
  <w15:docId w15:val="{AAED89D5-D94E-4ECB-9623-A9390D4D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 CARDENAS</dc:creator>
  <cp:keywords/>
  <dc:description/>
  <cp:lastModifiedBy>STIVEN M CARDENAS</cp:lastModifiedBy>
  <cp:revision>3</cp:revision>
  <dcterms:created xsi:type="dcterms:W3CDTF">2025-11-13T02:15:00Z</dcterms:created>
  <dcterms:modified xsi:type="dcterms:W3CDTF">2025-11-13T05:15:00Z</dcterms:modified>
</cp:coreProperties>
</file>