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EE9FA">
    <v:background id="_x0000_s1025" o:bwmode="white" fillcolor="#bee9fa" o:targetscreensize="1024,768">
      <v:fill color2="#ffd9f5" focusposition=".5,.5" focussize="" focus="100%" type="gradient"/>
    </v:background>
  </w:background>
  <w:body>
    <w:p w14:paraId="55A40C05" w14:textId="028CB1A3" w:rsidR="00613C48" w:rsidRPr="004D3ABD" w:rsidRDefault="00D63CAD" w:rsidP="00D63CAD">
      <w:pPr>
        <w:jc w:val="center"/>
        <w:rPr>
          <w:rFonts w:ascii="Baguet Script" w:hAnsi="Baguet Script"/>
          <w:b/>
          <w:color w:val="0F9ED5" w:themeColor="accent4"/>
          <w:sz w:val="72"/>
          <w:szCs w:val="72"/>
          <w:lang w:val="es-E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D3ABD">
        <w:rPr>
          <w:rFonts w:ascii="Baguet Script" w:hAnsi="Baguet Script"/>
          <w:b/>
          <w:color w:val="0F9ED5" w:themeColor="accent4"/>
          <w:sz w:val="72"/>
          <w:szCs w:val="72"/>
          <w:lang w:val="es-E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Trabajo </w:t>
      </w:r>
      <w:r w:rsidR="00B63B73">
        <w:rPr>
          <w:rFonts w:ascii="Baguet Script" w:hAnsi="Baguet Script"/>
          <w:b/>
          <w:color w:val="0F9ED5" w:themeColor="accent4"/>
          <w:sz w:val="72"/>
          <w:szCs w:val="72"/>
          <w:lang w:val="es-E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4D3ABD">
        <w:rPr>
          <w:rFonts w:ascii="Baguet Script" w:hAnsi="Baguet Script"/>
          <w:b/>
          <w:color w:val="0F9ED5" w:themeColor="accent4"/>
          <w:sz w:val="72"/>
          <w:szCs w:val="72"/>
          <w:lang w:val="es-E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 Sociología.</w:t>
      </w:r>
    </w:p>
    <w:p w14:paraId="50979B2C" w14:textId="465BBF55" w:rsidR="00D63CAD" w:rsidRPr="004D3ABD" w:rsidRDefault="00D63CAD">
      <w:pPr>
        <w:rPr>
          <w:rFonts w:ascii="Baguet Script" w:hAnsi="Baguet Script"/>
          <w:color w:val="60CAF3" w:themeColor="accent4" w:themeTint="99"/>
          <w:sz w:val="40"/>
          <w:szCs w:val="40"/>
          <w:lang w:val="es-ES"/>
          <w14:glow w14:rad="76200">
            <w14:schemeClr w14:val="accent4">
              <w14:alpha w14:val="69000"/>
              <w14:lumMod w14:val="40000"/>
              <w14:lumOff w14:val="60000"/>
            </w14:schemeClr>
          </w14:gl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stylisticSets>
            <w14:styleSet w14:id="7"/>
          </w14:stylisticSets>
        </w:rPr>
      </w:pPr>
      <w:r w:rsidRPr="004D3ABD">
        <w:rPr>
          <w:rFonts w:ascii="Baguet Script" w:hAnsi="Baguet Script"/>
          <w:color w:val="60CAF3" w:themeColor="accent4" w:themeTint="99"/>
          <w:sz w:val="40"/>
          <w:szCs w:val="40"/>
          <w:lang w:val="es-ES"/>
          <w14:glow w14:rad="76200">
            <w14:schemeClr w14:val="accent4">
              <w14:alpha w14:val="69000"/>
              <w14:lumMod w14:val="40000"/>
              <w14:lumOff w14:val="60000"/>
            </w14:schemeClr>
          </w14:gl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stylisticSets>
            <w14:styleSet w14:id="7"/>
          </w14:stylisticSets>
        </w:rPr>
        <w:t xml:space="preserve">La </w:t>
      </w:r>
      <w:r w:rsidR="004D3ABD" w:rsidRPr="004D3ABD">
        <w:rPr>
          <w:rFonts w:ascii="Baguet Script" w:hAnsi="Baguet Script"/>
          <w:color w:val="60CAF3" w:themeColor="accent4" w:themeTint="99"/>
          <w:sz w:val="40"/>
          <w:szCs w:val="40"/>
          <w:lang w:val="es-ES"/>
          <w14:glow w14:rad="76200">
            <w14:schemeClr w14:val="accent4">
              <w14:alpha w14:val="69000"/>
              <w14:lumMod w14:val="40000"/>
              <w14:lumOff w14:val="60000"/>
            </w14:schemeClr>
          </w14:gl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stylisticSets>
            <w14:styleSet w14:id="7"/>
          </w14:stylisticSets>
        </w:rPr>
        <w:t xml:space="preserve">  </w:t>
      </w:r>
      <w:r w:rsidRPr="004D3ABD">
        <w:rPr>
          <w:rFonts w:ascii="Baguet Script" w:hAnsi="Baguet Script"/>
          <w:color w:val="60CAF3" w:themeColor="accent4" w:themeTint="99"/>
          <w:sz w:val="40"/>
          <w:szCs w:val="40"/>
          <w:lang w:val="es-ES"/>
          <w14:glow w14:rad="76200">
            <w14:schemeClr w14:val="accent4">
              <w14:alpha w14:val="69000"/>
              <w14:lumMod w14:val="40000"/>
              <w14:lumOff w14:val="60000"/>
            </w14:schemeClr>
          </w14:gl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stylisticSets>
            <w14:styleSet w14:id="7"/>
          </w14:stylisticSets>
        </w:rPr>
        <w:t xml:space="preserve">promesa. </w:t>
      </w:r>
    </w:p>
    <w:p w14:paraId="5E06F0FC" w14:textId="77777777" w:rsidR="004D3ABD" w:rsidRPr="004D3ABD" w:rsidRDefault="004D3ABD" w:rsidP="00114F50">
      <w:pPr>
        <w:jc w:val="both"/>
        <w:rPr>
          <w:rFonts w:ascii="Baguet Script" w:hAnsi="Baguet Script"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</w:pPr>
      <w:r w:rsidRPr="004D3ABD">
        <w:rPr>
          <w:rFonts w:ascii="Baguet Script" w:hAnsi="Baguet Script"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Metacognición</w:t>
      </w:r>
    </w:p>
    <w:p w14:paraId="4B57D195" w14:textId="77777777" w:rsidR="004D3ABD" w:rsidRPr="004D3ABD" w:rsidRDefault="004D3ABD" w:rsidP="00114F50">
      <w:pPr>
        <w:jc w:val="both"/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</w:pPr>
      <w:r w:rsidRPr="004D3ABD"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  <w:t>1. ¿Qué cambió en la manera de comprender una obra civil?</w:t>
      </w:r>
    </w:p>
    <w:p w14:paraId="03101966" w14:textId="1CDA9CF9" w:rsidR="004D3ABD" w:rsidRPr="004D3ABD" w:rsidRDefault="004D3ABD" w:rsidP="00114F50">
      <w:p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4D3ABD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Respuesta:</w:t>
      </w:r>
      <w:r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4D3ABD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Cambió la manera de comprenderla porque ahora se entiende que una obra civil no es solamente un objeto técnico. También distribuye oportunidades, modifica territorios, expresa prioridades y puede producir consecuencias sociales y ambientales. </w:t>
      </w:r>
    </w:p>
    <w:p w14:paraId="1BAB107C" w14:textId="77777777" w:rsidR="004D3ABD" w:rsidRPr="004D3ABD" w:rsidRDefault="004D3ABD" w:rsidP="00114F50">
      <w:pPr>
        <w:jc w:val="both"/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</w:pPr>
      <w:r w:rsidRPr="004D3ABD"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  <w:lastRenderedPageBreak/>
        <w:t>2. ¿Cómo se diferencia una inquietud personal de un problema público?</w:t>
      </w:r>
    </w:p>
    <w:p w14:paraId="3F29A036" w14:textId="118B3B22" w:rsidR="004D3ABD" w:rsidRPr="004D3ABD" w:rsidRDefault="004D3ABD" w:rsidP="00114F50">
      <w:p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4D3ABD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Respuesta:</w:t>
      </w:r>
      <w:r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4D3ABD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Una inquietud personal corresponde a una situación que se vive de manera individual o familiar. Se convierte en un problema público cuando afecta a grupos amplios y revela condiciones estructurales relacionadas con la inversión pública, el ordenamiento territorial, la distribución de servicios o el mantenimiento. </w:t>
      </w:r>
    </w:p>
    <w:p w14:paraId="0FB50531" w14:textId="77777777" w:rsidR="004D3ABD" w:rsidRPr="004D3ABD" w:rsidRDefault="004D3ABD" w:rsidP="00114F50">
      <w:pPr>
        <w:jc w:val="both"/>
        <w:rPr>
          <w:rFonts w:ascii="Baguet Script" w:hAnsi="Baguet Script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4D3ABD"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  <w:t>3. ¿Qué decisión técnica puede producir efectos sociales desiguales?</w:t>
      </w:r>
    </w:p>
    <w:p w14:paraId="5243C809" w14:textId="50E23800" w:rsidR="004D3ABD" w:rsidRPr="004D3ABD" w:rsidRDefault="004D3ABD" w:rsidP="00114F50">
      <w:p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4D3ABD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Respuesta:</w:t>
      </w:r>
      <w:r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4D3ABD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Una decisión sobre el trazado, presupuesto, material o localización de una obra puede producir efectos sociales desiguales, porque puede favorecer unas posibilidades y restringir otras. Por ejemplo, una vía puede reducir los tiempos de viaje y dinamizar la economía, pero también puede fragmentar comunidades, desplazar habitantes o deteriorar ecosistemas. </w:t>
      </w:r>
    </w:p>
    <w:p w14:paraId="21B08C00" w14:textId="77777777" w:rsidR="004D3ABD" w:rsidRPr="004D3ABD" w:rsidRDefault="004D3ABD" w:rsidP="00114F50">
      <w:pPr>
        <w:jc w:val="both"/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</w:pPr>
      <w:r w:rsidRPr="004D3ABD">
        <w:rPr>
          <w:rFonts w:ascii="Baguet Script" w:hAnsi="Baguet Script"/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stylisticSets>
            <w14:styleSet w14:id="1"/>
          </w14:stylisticSets>
        </w:rPr>
        <w:lastRenderedPageBreak/>
        <w:t>4. ¿Qué aspecto del análisis debe fortalecerse antes de integrar la evidencia al portafolio?</w:t>
      </w:r>
    </w:p>
    <w:p w14:paraId="0CF79579" w14:textId="08090964" w:rsidR="004D3ABD" w:rsidRDefault="004D3ABD" w:rsidP="00114F50">
      <w:p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4D3ABD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Respuesta:</w:t>
      </w:r>
      <w:r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4D3ABD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Debe fortalecerse la capacidad de relacionar la infraestructura con la sociedad, el territorio y la desigualdad, superando la simple descripción de la obra. También debe fortalecerse la identificación de actores, impactos y responsabilidades profesionales</w:t>
      </w:r>
    </w:p>
    <w:p w14:paraId="68A00E0C" w14:textId="77777777" w:rsidR="00165C35" w:rsidRDefault="00165C35" w:rsidP="00114F50">
      <w:p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111E334" w14:textId="77777777" w:rsidR="00114F50" w:rsidRPr="00114F50" w:rsidRDefault="00114F50" w:rsidP="00114F50">
      <w:pPr>
        <w:jc w:val="both"/>
        <w:rPr>
          <w:rFonts w:ascii="Baguet Script" w:hAnsi="Baguet Script"/>
          <w:b/>
          <w:bCs/>
          <w:outline/>
          <w:color w:val="A02B93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stylisticSets>
            <w14:styleSet w14:id="1"/>
          </w14:stylisticSets>
        </w:rPr>
      </w:pPr>
      <w:r w:rsidRPr="00114F50">
        <w:rPr>
          <w:rFonts w:ascii="Baguet Script" w:hAnsi="Baguet Script"/>
          <w:b/>
          <w:bCs/>
          <w:outline/>
          <w:color w:val="A02B93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stylisticSets>
            <w14:styleSet w14:id="1"/>
          </w14:stylisticSets>
        </w:rPr>
        <w:t>Glosario</w:t>
      </w:r>
    </w:p>
    <w:p w14:paraId="66460819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Actores: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Personas, instituciones o grupos que intervienen en una situación relacionada con una obra, un territorio o una decisión de infraestructura.</w:t>
      </w:r>
    </w:p>
    <w:p w14:paraId="27B1887E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lastRenderedPageBreak/>
        <w:t>Biografía: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Conjunto de experiencias y situaciones de la vida de una persona que deben relacionarse con la historia y la estructura social para comprenderlas mejor.</w:t>
      </w:r>
    </w:p>
    <w:p w14:paraId="60CE0258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Desigualdad: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Diferencia en el acceso a oportunidades, servicios, recursos o condiciones favorables entre distintos grupos de la sociedad.</w:t>
      </w:r>
    </w:p>
    <w:p w14:paraId="5A3CC920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Estructura social: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Conjunto de condiciones y relaciones sociales que influyen en las experiencias y situaciones de las personas.</w:t>
      </w:r>
    </w:p>
    <w:p w14:paraId="68FCC4B0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Gestión del riesgo: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Acciones y condiciones relacionadas con la identificación y manejo de riesgos que pueden afectar a las personas y al territorio.</w:t>
      </w:r>
    </w:p>
    <w:p w14:paraId="44127BA3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lastRenderedPageBreak/>
        <w:t>Imaginación sociológica: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Capacidad de relacionar las experiencias personales con la historia y las estructuras sociales para comprender las causas colectivas de determinadas situaciones.</w:t>
      </w:r>
    </w:p>
    <w:p w14:paraId="141E050B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Infraestructura: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Obras y sistemas construidos para atender necesidades colectivas, como carreteras, puentes, viviendas, acueductos y sistemas de drenaje. Estas obras también transforman los territorios y generan consecuencias sociales y ambientales.</w:t>
      </w:r>
    </w:p>
    <w:p w14:paraId="5EB42EE4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Inquietud personal: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Situación o dificultad que una persona experimenta en su ámbito inmediato y que puede estar relacionada con condiciones sociales más amplias.</w:t>
      </w:r>
    </w:p>
    <w:p w14:paraId="4177CE00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lastRenderedPageBreak/>
        <w:t>Justicia territorial: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Enfoque que busca que las decisiones y obras sobre el territorio no generen o reproduzcan desigualdades entre diferentes poblaciones.</w:t>
      </w:r>
    </w:p>
    <w:p w14:paraId="2C26A26E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Neutralidad: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Idea de que las decisiones técnicas pueden mantenerse completamente al margen de intereses o consecuencias sociales. El texto cuestiona esta posibilidad.</w:t>
      </w:r>
    </w:p>
    <w:p w14:paraId="613213ED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Ordenamiento territorial: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Organización y planificación del territorio que influye en la distribución de servicios, viviendas, infraestructura y actividades dentro de un espacio determinado.</w:t>
      </w:r>
    </w:p>
    <w:p w14:paraId="59334D41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lastRenderedPageBreak/>
        <w:t>Participación comunitaria: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Intervención de las comunidades en procesos relacionados con las obras y decisiones que afectan sus territorios y formas de vida.</w:t>
      </w:r>
    </w:p>
    <w:p w14:paraId="20278E82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Problema público: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Situación que afecta a grupos amplios de personas y que tiene relación con condiciones institucionales o estructurales que van más allá de la voluntad individual.</w:t>
      </w:r>
    </w:p>
    <w:p w14:paraId="2892C72D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>Responsabilidad profesional: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Compromiso del ingeniero civil de considerar no solo los aspectos técnicos, sino también los efectos sociales, territoriales y ambientales de sus decisiones.</w:t>
      </w:r>
    </w:p>
    <w:p w14:paraId="21EFDACC" w14:textId="77777777" w:rsidR="00114F50" w:rsidRPr="00114F50" w:rsidRDefault="00114F50" w:rsidP="00114F50">
      <w:pPr>
        <w:numPr>
          <w:ilvl w:val="0"/>
          <w:numId w:val="1"/>
        </w:numPr>
        <w:jc w:val="both"/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114F50">
        <w:rPr>
          <w:rFonts w:ascii="Baguet Script" w:hAnsi="Baguet Script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lastRenderedPageBreak/>
        <w:t>Territorio:</w:t>
      </w:r>
      <w:r w:rsidRPr="00114F50">
        <w:rPr>
          <w:rFonts w:ascii="Baguet Script" w:hAnsi="Baguet Script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  <w14:stylisticSets>
            <w14:styleSet w14:id="1"/>
          </w14:stylisticSets>
        </w:rPr>
        <w:t xml:space="preserve"> </w:t>
      </w:r>
      <w:r w:rsidRPr="00114F50"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Espacio en el que se desarrollan relaciones sociales, económicas, culturales y ambientales, y que puede ser transformado por las obras de infraestructura.</w:t>
      </w:r>
    </w:p>
    <w:p w14:paraId="7AAC6953" w14:textId="77777777" w:rsidR="00114F50" w:rsidRPr="004D3ABD" w:rsidRDefault="00114F50" w:rsidP="004D3ABD">
      <w:pPr>
        <w:rPr>
          <w:rFonts w:ascii="Baguet Script" w:hAnsi="Baguet Scrip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92E8BC0" w14:textId="19F72776" w:rsidR="004D3ABD" w:rsidRDefault="00165C35" w:rsidP="00114F50">
      <w:pPr>
        <w:jc w:val="center"/>
        <w:rPr>
          <w:rFonts w:ascii="Baguet Script" w:hAnsi="Baguet Script"/>
          <w:color w:val="60CAF3" w:themeColor="accent4" w:themeTint="99"/>
          <w:sz w:val="36"/>
          <w:szCs w:val="36"/>
          <w14:glow w14:rad="76200">
            <w14:schemeClr w14:val="accent4">
              <w14:alpha w14:val="69000"/>
              <w14:lumMod w14:val="40000"/>
              <w14:lumOff w14:val="60000"/>
            </w14:schemeClr>
          </w14:gl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stylisticSets>
            <w14:styleSet w14:id="7"/>
          </w14:stylisticSets>
        </w:rPr>
      </w:pPr>
      <w:r w:rsidRPr="00165C35">
        <w:rPr>
          <w:rFonts w:ascii="Baguet Script" w:hAnsi="Baguet Script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drawing>
          <wp:inline distT="0" distB="0" distL="0" distR="0" wp14:anchorId="39B192BD" wp14:editId="3C62BBBC">
            <wp:extent cx="2332892" cy="196201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209" cy="199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9F02" w14:textId="77777777" w:rsidR="00114F50" w:rsidRPr="004D3ABD" w:rsidRDefault="00114F50" w:rsidP="00165C35">
      <w:pPr>
        <w:jc w:val="center"/>
        <w:rPr>
          <w:rFonts w:ascii="Baguet Script" w:hAnsi="Baguet Script"/>
          <w:color w:val="60CAF3" w:themeColor="accent4" w:themeTint="99"/>
          <w:sz w:val="36"/>
          <w:szCs w:val="36"/>
          <w14:glow w14:rad="76200">
            <w14:schemeClr w14:val="accent4">
              <w14:alpha w14:val="69000"/>
              <w14:lumMod w14:val="40000"/>
              <w14:lumOff w14:val="60000"/>
            </w14:schemeClr>
          </w14:glow>
          <w14:reflection w14:blurRad="6350" w14:stA="55000" w14:stPos="0" w14:endA="50" w14:endPos="850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  <w14:stylisticSets>
            <w14:styleSet w14:id="7"/>
          </w14:stylisticSets>
        </w:rPr>
      </w:pPr>
    </w:p>
    <w:sectPr w:rsidR="00114F50" w:rsidRPr="004D3ABD" w:rsidSect="00D63CAD">
      <w:pgSz w:w="12240" w:h="7920" w:orient="landscape" w:code="6"/>
      <w:pgMar w:top="1361" w:right="1361" w:bottom="1361" w:left="13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E6DBC"/>
    <w:multiLevelType w:val="multilevel"/>
    <w:tmpl w:val="2904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48"/>
    <w:rsid w:val="00114F50"/>
    <w:rsid w:val="00165C35"/>
    <w:rsid w:val="00237719"/>
    <w:rsid w:val="002F5190"/>
    <w:rsid w:val="004D3ABD"/>
    <w:rsid w:val="00613C48"/>
    <w:rsid w:val="00B63B73"/>
    <w:rsid w:val="00D6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CD530"/>
  <w15:chartTrackingRefBased/>
  <w15:docId w15:val="{5AD1BB25-D4A8-4596-B774-B5499049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C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C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C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2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632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García Rojas</dc:creator>
  <cp:keywords/>
  <dc:description/>
  <cp:lastModifiedBy>Karen Tatiana García Rojas</cp:lastModifiedBy>
  <cp:revision>2</cp:revision>
  <dcterms:created xsi:type="dcterms:W3CDTF">2026-09-02T12:33:00Z</dcterms:created>
  <dcterms:modified xsi:type="dcterms:W3CDTF">2026-09-09T02:26:00Z</dcterms:modified>
</cp:coreProperties>
</file>