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PubliTours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395"/>
          <w:sz w:val="28"/>
          <w:szCs w:val="28"/>
        </w:rPr>
        <w:t xml:space="preserve">"Caquetá Vive IA"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Modelo de Datos</w:t>
      </w:r>
    </w:p>
    <w:p>
      <w:pPr>
        <w:jc w:val="center"/>
      </w:pPr>
      <w:r>
        <w:rPr>
          <w:color w:val="666666"/>
          <w:sz w:val="22"/>
          <w:szCs w:val="22"/>
        </w:rPr>
        <w:t xml:space="preserve">Modelo Entidad-Relación y Diccionario de Datos</w:t>
      </w:r>
    </w:p>
    <w:p>
      <w:pPr>
        <w:spacing w:before="500"/>
        <w:jc w:val="center"/>
      </w:pPr>
      <w:r>
        <w:rPr>
          <w:b/>
          <w:bCs/>
          <w:sz w:val="24"/>
          <w:szCs w:val="24"/>
        </w:rPr>
        <w:t xml:space="preserve">Jhoan Steven Zambrano Vera</w:t>
      </w:r>
    </w:p>
    <w:p>
      <w:pPr>
        <w:jc w:val="center"/>
      </w:pPr>
      <w:r>
        <w:rPr>
          <w:sz w:val="20"/>
          <w:szCs w:val="20"/>
        </w:rPr>
        <w:t xml:space="preserve">Tecnología en Análisis y Desarrollo de Software (ADSO) — SENA</w:t>
      </w:r>
    </w:p>
    <w:p>
      <w:pPr>
        <w:jc w:val="center"/>
      </w:pPr>
      <w:r>
        <w:rPr>
          <w:sz w:val="20"/>
          <w:szCs w:val="20"/>
        </w:rPr>
        <w:t xml:space="preserve">Florencia, Caquetá — Colombia</w:t>
      </w:r>
    </w:p>
    <w:p>
      <w:pPr>
        <w:spacing w:before="200"/>
        <w:jc w:val="center"/>
      </w:pPr>
      <w:r>
        <w:rPr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200" w:before="320"/>
      </w:pPr>
      <w:r>
        <w:t xml:space="preserve">1. Modelo Entidad-Relación (MER)</w:t>
      </w:r>
    </w:p>
    <w:p>
      <w:pPr>
        <w:spacing w:after="160"/>
      </w:pPr>
      <w:r>
        <w:t xml:space="preserve">El siguiente diagrama representa las entidades del sistema PubliTours y sus relaciones, derivadas directamente de los requisitos funcionales definidos en el documento IEEE 830 y de las reglas de negocio establecidas.</w:t>
      </w:r>
    </w:p>
    <w:p>
      <w:pPr>
        <w:jc w:val="center"/>
      </w:pPr>
      <w:r>
        <w:drawing>
          <wp:inline distT="0" distB="0" distL="0" distR="0">
            <wp:extent cx="53340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1. Modelo Entidad-Relación de PubliTours (Caquetá Vive IA).</w:t>
      </w:r>
    </w:p>
    <w:p>
      <w:pPr>
        <w:pStyle w:val="Heading1"/>
        <w:spacing w:after="200" w:before="320"/>
      </w:pPr>
      <w:r>
        <w:t xml:space="preserve">2. Diccionario de Datos</w:t>
      </w:r>
    </w:p>
    <w:p>
      <w:pPr>
        <w:pStyle w:val="Heading3"/>
        <w:spacing w:after="120" w:before="200"/>
      </w:pPr>
      <w:r>
        <w:t xml:space="preserve">Entidad: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del usuario.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completo del usuario.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Correo electrónico, único, usado para autenticación.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Contraseña cifrada (hash con salt).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Valores: turista, prestador, administrador.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fecha_registro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 y hora de creación de la cuenta.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t xml:space="preserve">Entidad: PRESTADOR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del prestador.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Referencia a USUARIO.id.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nombre_negocio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comercial del prestador.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 de negocio (hotel, restaurante, guía, finca, etc.).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municipio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Municipio del Caquetá donde opera.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Descripción del negocio.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estado_verificacion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Valores: pendiente, aprobado, rechazado (RN-01).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t xml:space="preserve">Entidad: SITIO_TURISTICO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del sitio o servicio.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prestador_id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Referencia a PRESTADOR.id (nulo si es administrado directamente).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del sitio o servicio turístico.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Categoría (naturaleza, gastronomía, hospedaje, etc.).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municipio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Ubicación del sitio.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de referencia del servicio.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horario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Horario de atención o disponibilidad.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Descripción del sitio o servicio.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Valores: activo, inactivo.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t xml:space="preserve">Entidad: ITINERARIO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del itinerario generado.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turista_id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Referencia a USUARIO.id (rol turista).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fecha_creacion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 de generación del itinerario.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Presupuesto declarado por el turista.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dias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Duración del viaje en días.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preferencias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Preferencias declaradas (texto libre o estructurado).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t xml:space="preserve">Entidad: ITINERARIO_ITEM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del ítem del itinerario.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itinerario_id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Referencia a ITINERARIO.id.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sitio_id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Referencia a SITIO_TURISTICO.id.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Día del itinerario al que pertenece el ítem.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orden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Orden de visita dentro del día.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Puntaje asignado por el algoritmo de scoring.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justificacion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Explicación de por qué se incluyó el ítem (RF-08).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t xml:space="preserve">Entidad: RESERVA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de la reserva.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turista_id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Referencia a USUARIO.id (rol turista).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sitio_id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Referencia a SITIO_TURISTICO.id.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prestador_id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Referencia a PRESTADOR.id.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fecha_solicitud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 en que se generó la solicitud.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fecha_servicio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 para la cual se solicita el servicio.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Valores: pendiente, confirmada, rechazada (RN-04).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t xml:space="preserve">Entidad: NOTIFICACION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de la notificación.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destinatario de la notificación.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 de evento notificado (reserva, verificación, etc.).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mensaje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Contenido de la notificación.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leido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 si el usuario ya la revisó.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 de generación de la notificación.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t xml:space="preserve">Entidad: LOG_AUDITORIA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del registro.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que ejecutó la acción.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accion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Descripción corta de la acción (ej. "aprobó_prestador").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detalle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Información adicional de contexto.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14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560"/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 y hora del evento.</w:t>
            </w:r>
          </w:p>
        </w:tc>
      </w:tr>
    </w:tbl>
    <w:p>
      <w:pPr>
        <w:spacing w:after="160"/>
      </w:pPr>
    </w:p>
    <w:p>
      <w:pPr>
        <w:pStyle w:val="Heading1"/>
        <w:spacing w:after="200" w:before="320"/>
      </w:pPr>
      <w:r>
        <w:t xml:space="preserve">3. Correspondencia con el Modelo de Clases</w:t>
      </w:r>
    </w:p>
    <w:p>
      <w:pPr>
        <w:spacing w:after="160"/>
      </w:pPr>
      <w:r>
        <w:t xml:space="preserve">Dado que el sistema se implementa siguiendo un enfoque de capas con una API REST, cada entidad del Modelo Entidad-Relación se representa además como una clase de dominio en el backend (ej. Usuario, Prestador, SitioTuristico, Itinerario, ItinerarioItem, Reserva, Notificacion), con sus mismos atributos y con métodos propios de la lógica de negocio asociada (por ejemplo, la clase Itinerario expone un método calcularScoring() y la clase Reserva expone confirmar() y rechazar()). No se requiere un diagrama de clases adicional distinto al MER, dado que existe correspondencia directa 1 a 1 entre entidades y clases de dominio.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PubliTours (Caquetá Vive IA) — Modelo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14058db35ced71755a01f937841f6515523c81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2026-09-22T21:57:55.849Z</dcterms:created>
  <dcterms:modified xsi:type="dcterms:W3CDTF">2026-09-22T21:57:55.849Z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