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PubliTours</w:t>
      </w:r>
    </w:p>
    <w:p>
      <w:pPr>
        <w:jc w:val="center"/>
      </w:pPr>
      <w:r>
        <w:rPr>
          <w:rFonts w:ascii="Arial" w:cs="Arial" w:eastAsia="Arial" w:hAnsi="Arial"/>
          <w:i/>
          <w:iCs/>
          <w:color w:val="2E5395"/>
          <w:sz w:val="28"/>
          <w:szCs w:val="28"/>
        </w:rPr>
        <w:t xml:space="preserve">"Caquetá Vive IA"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Wireframes / Mockups</w:t>
      </w:r>
    </w:p>
    <w:p>
      <w:pPr>
        <w:jc w:val="center"/>
      </w:pPr>
      <w:r>
        <w:rPr>
          <w:color w:val="666666"/>
          <w:sz w:val="22"/>
          <w:szCs w:val="22"/>
        </w:rPr>
        <w:t xml:space="preserve">Diseño de baja fidelidad de las pantallas principales</w:t>
      </w:r>
    </w:p>
    <w:p>
      <w:pPr>
        <w:spacing w:before="500"/>
        <w:jc w:val="center"/>
      </w:pPr>
      <w:r>
        <w:rPr>
          <w:b/>
          <w:bCs/>
          <w:sz w:val="24"/>
          <w:szCs w:val="24"/>
        </w:rPr>
        <w:t xml:space="preserve">Jhoan Steven Zambrano Vera</w:t>
      </w:r>
    </w:p>
    <w:p>
      <w:pPr>
        <w:jc w:val="center"/>
      </w:pPr>
      <w:r>
        <w:rPr>
          <w:sz w:val="20"/>
          <w:szCs w:val="20"/>
        </w:rPr>
        <w:t xml:space="preserve">Tecnología en Análisis y Desarrollo de Software (ADSO) — SENA</w:t>
      </w:r>
    </w:p>
    <w:p>
      <w:pPr>
        <w:jc w:val="center"/>
      </w:pPr>
      <w:r>
        <w:rPr>
          <w:sz w:val="20"/>
          <w:szCs w:val="20"/>
        </w:rPr>
        <w:t xml:space="preserve">Florencia, Caquetá — Colombia</w:t>
      </w:r>
    </w:p>
    <w:p>
      <w:pPr>
        <w:spacing w:before="200"/>
        <w:jc w:val="center"/>
      </w:pPr>
      <w:r>
        <w:rPr>
          <w:sz w:val="20"/>
          <w:szCs w:val="20"/>
        </w:rPr>
        <w:t xml:space="preserve">2026</w:t>
      </w:r>
    </w:p>
    <w:p>
      <w:r>
        <w:br w:type="page"/>
      </w:r>
    </w:p>
    <w:p>
      <w:pPr>
        <w:pStyle w:val="Heading1"/>
        <w:spacing w:after="200" w:before="320"/>
      </w:pPr>
      <w:r>
        <w:t xml:space="preserve">1. Introducción</w:t>
      </w:r>
    </w:p>
    <w:p>
      <w:pPr>
        <w:spacing w:after="160"/>
      </w:pPr>
      <w:r>
        <w:t xml:space="preserve">Los siguientes wireframes representan el diseño de baja fidelidad de las seis pantallas principales de PubliTours, una por cada rol y funcionalidad clave identificada en las historias de usuario y los casos de uso. Sirven como base para el desarrollo del frontend y para validar el flujo de navegación antes de codificar.</w:t>
      </w:r>
    </w:p>
    <w:p>
      <w:pPr>
        <w:pStyle w:val="Heading1"/>
        <w:spacing w:after="200" w:before="320"/>
      </w:pPr>
      <w:r>
        <w:t xml:space="preserve">2. Pantallas</w:t>
      </w:r>
    </w:p>
    <w:p>
      <w:pPr>
        <w:jc w:val="center"/>
      </w:pPr>
      <w:r>
        <w:drawing>
          <wp:inline distT="0" distB="0" distL="0" distR="0">
            <wp:extent cx="5715000" cy="430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1. Wireframes de las pantallas principales de PubliTours.</w:t>
      </w:r>
    </w:p>
    <w:p>
      <w:pPr>
        <w:pStyle w:val="Heading1"/>
        <w:spacing w:after="200" w:before="320"/>
      </w:pPr>
      <w:r>
        <w:t xml:space="preserve">3. Relación con los casos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312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12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 de uso relacionado</w:t>
            </w:r>
          </w:p>
        </w:tc>
      </w:tr>
      <w:tr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Iniciar sesión / Registrarse</w:t>
            </w:r>
          </w:p>
        </w:tc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Turista, Prestador</w:t>
            </w:r>
          </w:p>
        </w:tc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CU-01</w:t>
            </w:r>
          </w:p>
        </w:tc>
      </w:tr>
      <w:tr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Buscar y filtrar oferta</w:t>
            </w:r>
          </w:p>
        </w:tc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Turista</w:t>
            </w:r>
          </w:p>
        </w:tc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CU-03</w:t>
            </w:r>
          </w:p>
        </w:tc>
      </w:tr>
      <w:tr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Generar itinerario con IA</w:t>
            </w:r>
          </w:p>
        </w:tc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Turista</w:t>
            </w:r>
          </w:p>
        </w:tc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CU-04, CU-05</w:t>
            </w:r>
          </w:p>
        </w:tc>
      </w:tr>
      <w:tr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 del Prestador — Reservas</w:t>
            </w:r>
          </w:p>
        </w:tc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Prestador</w:t>
            </w:r>
          </w:p>
        </w:tc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CU-06</w:t>
            </w:r>
          </w:p>
        </w:tc>
      </w:tr>
      <w:tr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 del Administrador</w:t>
            </w:r>
          </w:p>
        </w:tc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CU-02, CU-07</w:t>
            </w:r>
          </w:p>
        </w:tc>
      </w:tr>
      <w:tr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 Reservas (Turista)</w:t>
            </w:r>
          </w:p>
        </w:tc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Turista</w:t>
            </w:r>
          </w:p>
        </w:tc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Pág.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PubliTours (Caquetá Vive IA) — Wireframes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6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670c2850824771929278a8704df05181acd7c4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2026-09-22T21:57:55.937Z</dcterms:created>
  <dcterms:modified xsi:type="dcterms:W3CDTF">2026-09-22T21:57:55.937Z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