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Cronograma de Actividades</w:t>
      </w:r>
    </w:p>
    <w:p>
      <w:pPr>
        <w:jc w:val="center"/>
      </w:pPr>
      <w:r>
        <w:rPr>
          <w:color w:val="666666"/>
          <w:sz w:val="22"/>
          <w:szCs w:val="22"/>
        </w:rPr>
        <w:t xml:space="preserve">Diagrama de Gantt — Fases del proyecto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Cronograma General del Proyecto</w:t>
      </w:r>
    </w:p>
    <w:p>
      <w:pPr>
        <w:spacing w:after="160"/>
      </w:pPr>
      <w:r>
        <w:t xml:space="preserve">El proyecto se desarrolla en un horizonte estimado de 22 semanas, alineado con la etapa productiva del programa ADSO-SENA, distribuidas de la siguiente manera: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Semana(s)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/ Actividad</w:t>
            </w:r>
          </w:p>
        </w:tc>
        <w:tc>
          <w:tcPr>
            <w:tcW w:type="dxa" w:w="47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Fundamentación y análisis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de fundamentación, acta de constitución, factibilidad, IEEE 830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Reglas de negocio y casos de uso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Definición de reglas de negocio, diagrama y descripción de casos de uso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Diseño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Arquitectura, MER, diccionario de datos, diagramas de secuencia, wireframes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— Autenticación y catálogo básico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Registro, login, CRUD de catálogo, verificación de prestadores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 — Descubrimiento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Listado, búsqueda por texto, filtros avanzados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 — Generador de itinerarios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 de scoring, generación de itinerario por días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 — Inteligencia artificial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Interpretación de lenguaje natural, integración con datos verificados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 — Reservas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Solicitud, notificación, confirmación/rechazo de reservas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17-18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6 — Estadísticas y roles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de estadísticas, gestión de roles y permisos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de pruebas, pruebas funcionales, evidencias</w:t>
            </w:r>
          </w:p>
        </w:tc>
      </w:tr>
      <w:tr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21-22</w:t>
            </w:r>
          </w:p>
        </w:tc>
        <w:tc>
          <w:tcPr>
            <w:tcW w:type="dxa" w:w="3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Implementación y documentación final</w:t>
            </w:r>
          </w:p>
        </w:tc>
        <w:tc>
          <w:tcPr>
            <w:tcW w:type="dxa" w:w="47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técnico, manual de usuario, conclusiones, sustentación</w:t>
            </w:r>
          </w:p>
        </w:tc>
      </w:tr>
    </w:tbl>
    <w:p>
      <w:pPr>
        <w:spacing w:before="300"/>
      </w:pPr>
    </w:p>
    <w:p>
      <w:pPr>
        <w:spacing w:after="160"/>
      </w:pPr>
      <w:r>
        <w:t xml:space="preserve">Nota: los tiempos son estimados y podrán ajustarse según el ritmo real de avance validado en las reuniones de seguimiento con el instructor.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Cronograma de Actividades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2026-09-22T21:38:02.970Z</dcterms:created>
  <dcterms:modified xsi:type="dcterms:W3CDTF">2026-09-22T21:38:02.970Z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