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00976154">
        <w:t xml:space="preserve">repeatable and </w:t>
      </w:r>
      <w:r w:rsidRPr="002F19C0">
        <w:t xml:space="preserve">falsifiable </w:t>
      </w:r>
      <w:r>
        <w:t xml:space="preserve">test experiments are </w:t>
      </w:r>
      <w:r w:rsidR="00976154">
        <w:t>demonstrated</w:t>
      </w:r>
      <w:r>
        <w:t xml:space="preserve">.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 xml:space="preserve">The PDF derivation were prepared in the appendix, but were removed to keep the paper concise. Please find the appendix attached. It should be noted however: that the PDF derivation, as commented by the reviewer, is complex and </w:t>
      </w:r>
      <w:r w:rsidR="00A527B4">
        <w:t xml:space="preserve">was not </w:t>
      </w:r>
      <w:r>
        <w:t xml:space="preserve">done for every cases of dimension (d) and look </w:t>
      </w:r>
      <w:r w:rsidR="009266F9">
        <w:t>number</w:t>
      </w:r>
      <w:r w:rsidR="00FF0D0D">
        <w:t xml:space="preserve"> </w:t>
      </w:r>
      <w:r w:rsidR="00FF0D0D">
        <w:t>(L)</w:t>
      </w:r>
      <w:r>
        <w:t>.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Eqn(16)</w:t>
      </w:r>
      <w:r w:rsidR="00352CA2">
        <w:t xml:space="preserve"> illustrates an observable which behaves like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sidR="0091001A">
        <w:rPr>
          <w:rFonts w:eastAsiaTheme="minorEastAsia"/>
        </w:rPr>
        <w:t xml:space="preserve">can be </w:t>
      </w:r>
      <w:r>
        <w:rPr>
          <w:rFonts w:eastAsiaTheme="minorEastAsia"/>
        </w:rPr>
        <w:t>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91001A" w:rsidP="0052586B">
      <w:pPr>
        <w:pStyle w:val="ListParagraph"/>
        <w:numPr>
          <w:ilvl w:val="0"/>
          <w:numId w:val="1"/>
        </w:numPr>
        <w:jc w:val="both"/>
        <w:rPr>
          <w:rFonts w:eastAsiaTheme="minorEastAsia"/>
        </w:rPr>
      </w:pPr>
      <w:r>
        <w:rPr>
          <w:rFonts w:eastAsiaTheme="minorEastAsia"/>
        </w:rPr>
        <w:t>W</w:t>
      </w:r>
      <w:r w:rsidR="00354251">
        <w:rPr>
          <w:rFonts w:eastAsiaTheme="minorEastAsia"/>
        </w:rPr>
        <w:t>e assert</w:t>
      </w:r>
      <w:r>
        <w:rPr>
          <w:rFonts w:eastAsiaTheme="minorEastAsia"/>
        </w:rPr>
        <w:t xml:space="preserve"> </w:t>
      </w:r>
      <w:r w:rsidR="00354251">
        <w:rPr>
          <w:rFonts w:eastAsiaTheme="minorEastAsia"/>
        </w:rPr>
        <w:t xml:space="preserve">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sidR="00354251">
        <w:rPr>
          <w:rFonts w:eastAsiaTheme="minorEastAsia"/>
        </w:rPr>
        <w:t xml:space="preserve"> </w:t>
      </w:r>
      <w:r>
        <w:rPr>
          <w:rFonts w:eastAsiaTheme="minorEastAsia"/>
        </w:rPr>
        <w:t>(</w:t>
      </w:r>
      <w:r>
        <w:rPr>
          <w:rFonts w:eastAsiaTheme="minorEastAsia"/>
        </w:rPr>
        <w:t>in this paper</w:t>
      </w:r>
      <w:r>
        <w:rPr>
          <w:rFonts w:eastAsiaTheme="minorEastAsia"/>
        </w:rPr>
        <w:t xml:space="preserve">) </w:t>
      </w:r>
      <w:r w:rsidR="00354251">
        <w:rPr>
          <w:rFonts w:eastAsiaTheme="minorEastAsia"/>
        </w:rPr>
        <w:t xml:space="preserve">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sidR="00354251">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0B0622" w:rsidP="002F19C0">
      <w:pPr>
        <w:jc w:val="both"/>
      </w:pPr>
      <w:r>
        <w:t xml:space="preserve">Monte Carlo simulation </w:t>
      </w:r>
      <w:r w:rsidR="001B3CE6">
        <w:t xml:space="preserve">is carried out, in various different ways, in our detailed work. </w:t>
      </w:r>
      <w:r w:rsidR="008D4B40">
        <w:t xml:space="preserve">However we do not </w:t>
      </w:r>
      <w:r w:rsidR="00B35D09">
        <w:t xml:space="preserve">feel that </w:t>
      </w:r>
      <w:r w:rsidR="008D4B40">
        <w:t xml:space="preserve">showing </w:t>
      </w:r>
      <w:r w:rsidR="00E2471D">
        <w:t xml:space="preserve">a </w:t>
      </w:r>
      <w:r w:rsidR="00B049AC">
        <w:t>stochastic</w:t>
      </w:r>
      <w:r w:rsidR="00E2471D">
        <w:t xml:space="preserve"> M</w:t>
      </w:r>
      <w:r w:rsidR="007537BD">
        <w:t>onte-Carlo simulation matching its</w:t>
      </w:r>
      <w:r w:rsidR="00E2471D">
        <w:t xml:space="preserve"> theoretical </w:t>
      </w:r>
      <w:r w:rsidR="00CE17B8">
        <w:t xml:space="preserve">statistics </w:t>
      </w:r>
      <w:r w:rsidR="00E2471D">
        <w:t>model</w:t>
      </w:r>
      <w:r w:rsidR="00B35D09">
        <w:t xml:space="preserve"> warrant</w:t>
      </w:r>
      <w:r w:rsidR="00DF7BC4">
        <w:t>s</w:t>
      </w:r>
      <w:r w:rsidR="00B35D09">
        <w:t xml:space="preserve"> enough value to be included in this paper</w:t>
      </w:r>
      <w:r w:rsidR="00E2471D">
        <w:t>.</w:t>
      </w:r>
      <w:r w:rsidR="00F1516B">
        <w:t xml:space="preserve"> </w:t>
      </w:r>
      <w:r w:rsidR="00D9213A">
        <w:t xml:space="preserve">It probably would be nicer to show that the model can be validated against some simulator. </w:t>
      </w:r>
      <w:r w:rsidR="00F1516B">
        <w:t xml:space="preserve">Unfortunately, we do not have access to a </w:t>
      </w:r>
      <w:r w:rsidR="00A9290C">
        <w:t xml:space="preserve">decent </w:t>
      </w:r>
      <w:r w:rsidR="00F1516B">
        <w:t>physical POLSAR simulator.</w:t>
      </w:r>
      <w:r w:rsidR="00E2471D">
        <w:t xml:space="preserve"> </w:t>
      </w:r>
      <w:r w:rsidR="00387EE1">
        <w:t>Anyway</w:t>
      </w:r>
      <w:r w:rsidR="00F1516B">
        <w:t xml:space="preserve">, we felt, it is more important that this paper needs to validate the model against real-life practical data. </w:t>
      </w:r>
      <w:r w:rsidR="00D93170">
        <w:t xml:space="preserve">Thus, </w:t>
      </w:r>
      <w:r w:rsidR="00387EE1">
        <w:t xml:space="preserve">all the rest </w:t>
      </w:r>
      <w:r w:rsidR="001B3CE6">
        <w:t xml:space="preserve">is kept out of this paper </w:t>
      </w:r>
      <w:r w:rsidR="00387EE1">
        <w:t>in the interest of brevity / space constraint</w:t>
      </w:r>
      <w:r w:rsidR="001B3CE6">
        <w:t>.</w:t>
      </w:r>
    </w:p>
    <w:p w:rsidR="00A47757" w:rsidRDefault="00A47757" w:rsidP="002F19C0">
      <w:pPr>
        <w:jc w:val="both"/>
      </w:pPr>
    </w:p>
    <w:p w:rsidR="00A47757" w:rsidRPr="00E479C7" w:rsidRDefault="00A47757" w:rsidP="002F19C0">
      <w:pPr>
        <w:jc w:val="both"/>
        <w:rPr>
          <w:b/>
        </w:rPr>
      </w:pPr>
      <w:r w:rsidRPr="00E479C7">
        <w:rPr>
          <w:b/>
        </w:rPr>
        <w:lastRenderedPageBreak/>
        <w:t>Comment:</w:t>
      </w:r>
    </w:p>
    <w:p w:rsidR="00A47757" w:rsidRPr="00E479C7" w:rsidRDefault="00A47757" w:rsidP="002F19C0">
      <w:pPr>
        <w:jc w:val="both"/>
        <w:rPr>
          <w:b/>
        </w:rPr>
      </w:pPr>
      <w:r w:rsidRPr="00E479C7">
        <w:rPr>
          <w:b/>
        </w:rPr>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3269F7" w:rsidP="002F19C0">
      <w:pPr>
        <w:jc w:val="both"/>
      </w:pPr>
      <w:r>
        <w:t>Interestingly, o</w:t>
      </w:r>
      <w:r w:rsidR="00906060">
        <w:t>ur work does include</w:t>
      </w:r>
      <w:r w:rsidR="00A47757">
        <w:t xml:space="preserve"> log-transformed ve</w:t>
      </w:r>
      <w:r w:rsidR="00387EE1">
        <w:t>rsion</w:t>
      </w:r>
      <w:r w:rsidR="00906060">
        <w:t>s of the proposed models. They are found to be not only consistent, i.e. independent of the underlying signal, but also</w:t>
      </w:r>
      <w:r w:rsidR="00792489">
        <w:t xml:space="preserve"> additive and</w:t>
      </w:r>
      <w:r w:rsidR="00906060">
        <w:t xml:space="preserve"> homoscedastic. Unfortunately they</w:t>
      </w:r>
      <w:r w:rsidR="00387EE1">
        <w:t xml:space="preserve"> </w:t>
      </w:r>
      <w:r w:rsidR="00906060">
        <w:t xml:space="preserve">were </w:t>
      </w:r>
      <w:r w:rsidR="00C57B9D">
        <w:t xml:space="preserve">also </w:t>
      </w:r>
      <w:r w:rsidR="00387EE1">
        <w:t xml:space="preserve">removed </w:t>
      </w:r>
      <w:r w:rsidR="00E61C10">
        <w:t xml:space="preserve">from this paper </w:t>
      </w:r>
      <w:r w:rsidR="00387EE1">
        <w:t>due to the space constraint</w:t>
      </w:r>
      <w:r w:rsidR="00A47757">
        <w: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442FCB">
        <w:t xml:space="preserve"> This</w:t>
      </w:r>
      <w:r w:rsidR="009605C9">
        <w:t xml:space="preserve"> information </w:t>
      </w:r>
      <w:r w:rsidR="003A7004">
        <w:t xml:space="preserve">is </w:t>
      </w:r>
      <w:r w:rsidR="009605C9">
        <w:t>added</w:t>
      </w:r>
      <w:r w:rsidR="005E7090">
        <w:t xml:space="preserve"> into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posed models for POLSAR include</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t xml:space="preserve">The paper does acknowledge that the proposed </w:t>
      </w:r>
      <w:r w:rsidR="003F236D">
        <w:t xml:space="preserve">models are NOT lossless (P7 L27), since they are scalar representation of a multidimensional dataset. Evidently,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We believe, however, that the lost is minimal in the class of possible scalar observables</w:t>
      </w:r>
      <w:r w:rsidR="00013C7A">
        <w:t xml:space="preserve"> for POLSAR</w:t>
      </w:r>
      <w:r w:rsidR="00450287">
        <w:t xml:space="preserve">. </w:t>
      </w:r>
      <w:r w:rsidR="006642B0">
        <w:t xml:space="preserve">There is a couple of evidence for that. First the proposed </w:t>
      </w:r>
      <w:r w:rsidR="003F236D">
        <w:t>scalar observables are representative, i.e.</w:t>
      </w:r>
      <w:r w:rsidR="006642B0">
        <w:t xml:space="preserve"> they</w:t>
      </w:r>
      <w:r w:rsidR="003F236D">
        <w:t xml:space="preserve"> </w:t>
      </w:r>
      <w:r w:rsidR="00FC5B52">
        <w:t>lead</w:t>
      </w:r>
      <w:r w:rsidR="003F236D">
        <w:t xml:space="preserve"> to consistent discrimination measures. </w:t>
      </w:r>
      <w:r w:rsidR="006642B0">
        <w:t xml:space="preserve">Second, when the multidimensional dataset itself is collapsed into single dimension, the proposed model degrades smoothly into the widely accepted model for the single-channel SAR. </w:t>
      </w:r>
      <w:r w:rsidR="002C3DF6">
        <w:t>T</w:t>
      </w:r>
      <w:r>
        <w:t xml:space="preserve">he </w:t>
      </w:r>
      <w:r w:rsidR="002C3DF6">
        <w:t xml:space="preserve">revised text is </w:t>
      </w:r>
      <w:r>
        <w:t>rewritten</w:t>
      </w:r>
      <w:r w:rsidR="00C51477">
        <w:t xml:space="preserve"> to </w:t>
      </w:r>
      <w:r w:rsidR="003D6432">
        <w:t xml:space="preserve">give further emphasis to </w:t>
      </w:r>
      <w:r w:rsidR="00C51477">
        <w:t>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Still a new paragraph 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DD59AA">
        <w:t xml:space="preserve">The topic is </w:t>
      </w:r>
      <w:r w:rsidR="007E133E">
        <w:t xml:space="preserve">important, we feel, </w:t>
      </w:r>
      <w:r w:rsidR="00DD59AA">
        <w:t xml:space="preserve">as </w:t>
      </w:r>
      <w:r w:rsidR="007E133E">
        <w:t xml:space="preserve">many </w:t>
      </w:r>
      <w:r w:rsidR="00DD59AA">
        <w:t xml:space="preserve">established </w:t>
      </w:r>
      <w:r w:rsidR="007E133E">
        <w:t xml:space="preserve">techniques have been shown to be derived from similar discrimination </w:t>
      </w:r>
      <w:r w:rsidR="00A06547">
        <w:t>measures</w:t>
      </w:r>
      <w:r w:rsidR="007E133E">
        <w:t xml:space="preserve">. </w:t>
      </w:r>
      <w:r w:rsidR="00D210FA">
        <w:t xml:space="preserve">Since </w:t>
      </w:r>
      <w:r w:rsidR="00CF2C46">
        <w:t xml:space="preserve">it is not </w:t>
      </w:r>
      <w:r w:rsidR="00D210FA">
        <w:t xml:space="preserve">the </w:t>
      </w:r>
      <w:r w:rsidR="00CF2C46">
        <w:t xml:space="preserve">focus of this </w:t>
      </w:r>
      <w:r w:rsidR="00D210FA">
        <w:t xml:space="preserve">paper </w:t>
      </w:r>
      <w:r w:rsidR="00CF2C46">
        <w:t xml:space="preserve">to </w:t>
      </w:r>
      <w:r w:rsidR="00D210FA">
        <w:t>propose new procedures / application, the authors feel that the</w:t>
      </w:r>
      <w:r w:rsidR="006029C2">
        <w:t xml:space="preserve"> usual</w:t>
      </w:r>
      <w:r w:rsidR="00D210FA">
        <w:t xml:space="preserve"> </w:t>
      </w:r>
      <w:r w:rsidR="002A3A48">
        <w:t>‘’</w:t>
      </w:r>
      <w:r w:rsidR="00D210FA">
        <w:t>comparison with established procedures” is not needed</w:t>
      </w:r>
      <w:r w:rsidR="006029C2">
        <w:t xml:space="preserve"> in this specific case</w:t>
      </w:r>
      <w:r w:rsidR="00D210FA">
        <w:t xml:space="preserve">. </w:t>
      </w:r>
    </w:p>
    <w:p w:rsidR="003A2E5C" w:rsidRPr="0052586B" w:rsidRDefault="006E749B" w:rsidP="003A2E5C">
      <w:pPr>
        <w:jc w:val="both"/>
      </w:pPr>
      <w:r>
        <w:t xml:space="preserve">Instead this paper </w:t>
      </w:r>
      <w:r w:rsidR="00052F2F">
        <w:t>focus</w:t>
      </w:r>
      <w:r>
        <w:t>es</w:t>
      </w:r>
      <w:r w:rsidR="00052F2F">
        <w:t xml:space="preserve"> on comparing</w:t>
      </w:r>
      <w:r w:rsidR="00D210FA">
        <w:t xml:space="preserve"> </w:t>
      </w:r>
      <w:r w:rsidR="00AF5ECE">
        <w:t xml:space="preserve">the proposed models </w:t>
      </w:r>
      <w:r w:rsidR="00D210FA">
        <w:t xml:space="preserve">with existing models for both SAR and POLSAR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lastRenderedPageBreak/>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comparison with </w:t>
      </w:r>
      <w:r w:rsidR="00F9158D">
        <w:t xml:space="preserve">the equations in </w:t>
      </w:r>
      <w:r w:rsidR="00845FA2">
        <w:t>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E703D2" w:rsidRDefault="00A40EF5" w:rsidP="002F19C0">
      <w:pPr>
        <w:jc w:val="both"/>
      </w:pPr>
      <w:r>
        <w:t xml:space="preserve">1-7 list out different univariate POLSAR observables, for which statistical models have been proposed in the cited publications. </w:t>
      </w:r>
      <w:r w:rsidR="00FF747C">
        <w:t>T</w:t>
      </w:r>
      <w:r>
        <w:t>he text may be a bit hard to decode</w:t>
      </w:r>
      <w:r w:rsidR="00171933">
        <w:t xml:space="preserve"> but we feel that it is correct</w:t>
      </w:r>
      <w:r>
        <w:t xml:space="preserve">. </w:t>
      </w:r>
      <w:r w:rsidR="003D2B63">
        <w:t>The paper is revised, however, to make it easier to understand.</w:t>
      </w:r>
    </w:p>
    <w:p w:rsidR="00157533" w:rsidRDefault="00F12EE7" w:rsidP="002F19C0">
      <w:pPr>
        <w:jc w:val="both"/>
      </w:pPr>
      <w:r>
        <w:t>p,q,r,s are notation indicating any of the commonly used polarization combination (i.e. hh,vv,hv)</w:t>
      </w:r>
      <w:r w:rsidR="00D747DF">
        <w:t xml:space="preserve">. The explanation </w:t>
      </w:r>
      <w:r w:rsidR="00E703D2">
        <w:t xml:space="preserve">is </w:t>
      </w:r>
      <w:r w:rsidR="00D747DF">
        <w:t xml:space="preserve">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9A1FC4"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in the </w:t>
      </w:r>
      <w:r w:rsidR="00D91BEB">
        <w:t xml:space="preserve">very </w:t>
      </w:r>
      <w:r w:rsidR="00013A3E">
        <w:t xml:space="preserve">next section. </w:t>
      </w:r>
    </w:p>
    <w:p w:rsidR="00572D68" w:rsidRDefault="00013A3E" w:rsidP="00DF541B">
      <w:pPr>
        <w:jc w:val="both"/>
      </w:pPr>
      <w:r>
        <w:t xml:space="preserve">The next section </w:t>
      </w:r>
      <w:r w:rsidR="00DA7CE8">
        <w:t>reviews all, to the best of our knowledge, widely used discrimination measures for POLSAR.</w:t>
      </w:r>
      <w:r>
        <w:t xml:space="preserve"> Evidently none of the commonly used discrimination measures are based on the reviewed observables. Most of them actually are based on the determinant of the covariance matrix, </w:t>
      </w:r>
      <w:r w:rsidR="009A6F84">
        <w:t xml:space="preserve">whose model </w:t>
      </w:r>
      <w:r>
        <w:t xml:space="preserve">is </w:t>
      </w:r>
      <w:r w:rsidR="009A6F84">
        <w:t xml:space="preserve">among those </w:t>
      </w:r>
      <w:r>
        <w:t>proposed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0E4F6E" w:rsidRDefault="00BC6FD0" w:rsidP="00DF541B">
      <w:pPr>
        <w:jc w:val="both"/>
      </w:pPr>
      <w:r>
        <w:lastRenderedPageBreak/>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p>
    <w:p w:rsidR="00341D3C" w:rsidRDefault="000E4F6E" w:rsidP="00DF541B">
      <w:pPr>
        <w:jc w:val="both"/>
      </w:pPr>
      <w:r>
        <w:t>Second, w</w:t>
      </w:r>
      <w:r w:rsidR="00C16893">
        <w:t xml:space="preserve">hile we believe that better separation can be achieved with the proposed model, we feel that it is a relative different topic. Due to space constraints, one paper should focus on a single topic we </w:t>
      </w:r>
      <w:r w:rsidR="009B4C92">
        <w:t>assume</w:t>
      </w:r>
      <w:r w:rsidR="00C16893">
        <w:t>. Evidently, this theoretical results need to be established first, before follow on techniques can be proposed.</w:t>
      </w:r>
      <w:r w:rsidR="00740455">
        <w:t xml:space="preserve"> </w:t>
      </w:r>
    </w:p>
    <w:p w:rsidR="00BC6FD0" w:rsidRDefault="00341D3C" w:rsidP="00DF541B">
      <w:pPr>
        <w:jc w:val="both"/>
      </w:pPr>
      <w:r>
        <w:t>Third, i</w:t>
      </w:r>
      <w:r w:rsidR="00740455">
        <w:t xml:space="preserve">t should also be noted that the paper does include a section discussing the application </w:t>
      </w:r>
      <w:r>
        <w:t xml:space="preserve">and the advantages </w:t>
      </w:r>
      <w:r w:rsidR="00740455">
        <w:t>of the proposed models.</w:t>
      </w:r>
      <w:r>
        <w:t xml:space="preserve"> One advantage, in terms of easier classifying POLSAR data, is, for example, the use of the change ratio, which evidently </w:t>
      </w:r>
      <w:r w:rsidR="00485A17">
        <w:t xml:space="preserve">is </w:t>
      </w:r>
      <w:r>
        <w:t xml:space="preserve">much cheaper in computation than existing measures, such as the Bhattacharyya ratio. </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 xml:space="preserve">The term we used is “partial polarimetry” and </w:t>
      </w:r>
      <w:r w:rsidR="00C22C68">
        <w:t xml:space="preserve">it </w:t>
      </w:r>
      <w:r>
        <w:t>is totally different from “partially polarized signals”. We are aware of the term “compact polarimet</w:t>
      </w:r>
      <w:r w:rsidR="001127B3">
        <w:t>ry” which were used by Souyris [</w:t>
      </w:r>
      <w:r w:rsidR="001127B3" w:rsidRPr="00760970">
        <w:t>Souyris</w:t>
      </w:r>
      <w:r w:rsidR="001127B3">
        <w:t>_2005_TGRS]</w:t>
      </w:r>
      <w:r>
        <w:t xml:space="preserve">. In the cited paper, the proposed mode is 45 </w:t>
      </w:r>
      <w:r w:rsidR="00C22CA8">
        <w:t xml:space="preserve">degree </w:t>
      </w:r>
      <w:r>
        <w:t>in Transmit. That fact is important because there is also another proposal by Raney</w:t>
      </w:r>
      <w:r w:rsidR="008944EE">
        <w:t xml:space="preserve"> </w:t>
      </w:r>
      <w:r w:rsidR="008944EE">
        <w:t>[</w:t>
      </w:r>
      <w:r w:rsidR="008944EE" w:rsidRPr="009E6309">
        <w:t>Raney</w:t>
      </w:r>
      <w:r w:rsidR="008944EE">
        <w:t>_2006_TGRS]</w:t>
      </w:r>
      <w:r>
        <w:t>,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r w:rsidR="008944EE">
        <w:rPr>
          <w:rFonts w:eastAsiaTheme="minorEastAsia"/>
        </w:rPr>
        <w:t xml:space="preserve"> to avoid the confusion</w:t>
      </w:r>
      <w:r w:rsidR="00E31062">
        <w:rPr>
          <w:rFonts w:eastAsiaTheme="minorEastAsia"/>
        </w:rPr>
        <w:t>.</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w:t>
      </w:r>
      <w:r w:rsidR="00D513E3">
        <w:rPr>
          <w:b/>
        </w:rPr>
        <w:t>e is multiplicative. You use Goo</w:t>
      </w:r>
      <w:r w:rsidRPr="0043777E">
        <w:rPr>
          <w:b/>
        </w:rPr>
        <w:t>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lastRenderedPageBreak/>
        <w:t xml:space="preserve">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AD47A3">
        <w:t xml:space="preserve"> </w:t>
      </w:r>
      <w:r w:rsidR="002A667F">
        <w:t>A</w:t>
      </w:r>
      <w:r w:rsidR="004A474F">
        <w:t>pparent</w:t>
      </w:r>
      <w:r w:rsidR="002A667F">
        <w:t>ly,</w:t>
      </w:r>
      <w:r w:rsidR="004A474F">
        <w:t xml:space="preserve"> that the idea </w:t>
      </w:r>
      <w:r w:rsidR="00D513E3">
        <w:t xml:space="preserve">has not been </w:t>
      </w:r>
      <w:r w:rsidR="002A667F">
        <w:t xml:space="preserve">fully </w:t>
      </w:r>
      <w:r w:rsidR="00D513E3">
        <w:t xml:space="preserve">conveyed to the reviewer. As such, </w:t>
      </w:r>
      <w:r w:rsidR="0016094D">
        <w:t xml:space="preserve">in the revised paper, </w:t>
      </w:r>
      <w:r w:rsidR="00D513E3">
        <w:t>the text is heavily updated</w:t>
      </w:r>
      <w:r w:rsidR="0016094D">
        <w:t xml:space="preserve"> to emphasize the point</w:t>
      </w:r>
      <w:r w:rsidR="00D513E3">
        <w:t>.</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r>
        <w:t>. In t</w:t>
      </w:r>
      <w:r w:rsidR="003E3D26">
        <w:t>hat sense Eqn 20 may be useful, for example, to detect ship out of a “homogeneous” background of sea water.</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303B20" w:rsidP="00DF541B">
      <w:pPr>
        <w:jc w:val="both"/>
      </w:pPr>
      <w:r>
        <w:t xml:space="preserve">We feel that to say something formally correct but is useless in practice is a bit too harsh. </w:t>
      </w:r>
      <w:r w:rsidR="00FC7494">
        <w:t xml:space="preserve">The paper </w:t>
      </w:r>
      <w:r w:rsidR="009B0EF4">
        <w:t>show</w:t>
      </w:r>
      <w:r w:rsidR="00FC7494">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 xml:space="preserve">This is similar to the subtraction of two independent </w:t>
      </w:r>
      <w:r w:rsidR="0036087A">
        <w:lastRenderedPageBreak/>
        <w:t>random variables having the same</w:t>
      </w:r>
      <w:r w:rsidR="00BE3069">
        <w:t>, say,</w:t>
      </w:r>
      <w:r w:rsidR="0036087A">
        <w:t xml:space="preserve"> Gaussian distribution</w:t>
      </w:r>
      <w:r w:rsidR="00312EDA">
        <w:t>. The latter case does not lead</w:t>
      </w:r>
      <w:r w:rsidR="0036087A">
        <w:t xml:space="preserve"> to a fixed value of zero, but a fixed distribution with expected value of zero. What the reviewer probably should have meant is: w</w:t>
      </w:r>
      <w:r>
        <w:t>hen d=1,2,3, Rc follows fixed distribution with expected values.</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We do not wish to say that 3D SAR can be physically collapsed into 1D SAR</w:t>
      </w:r>
      <w:r w:rsidR="00FF04B4">
        <w:t xml:space="preserve"> and we do not believe that is what the text reads</w:t>
      </w:r>
      <w:r>
        <w:t xml:space="preserve">. </w:t>
      </w:r>
      <w:r w:rsidR="00FF04B4">
        <w:t xml:space="preserve">Instead, what </w:t>
      </w:r>
      <w:r>
        <w:t xml:space="preserve">the paper </w:t>
      </w:r>
      <w:r w:rsidR="00CD48EB">
        <w:t xml:space="preserve">meant </w:t>
      </w:r>
      <w:r>
        <w:t xml:space="preserve">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lastRenderedPageBreak/>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w:t>
      </w:r>
      <w:r w:rsidR="004754B9">
        <w:t xml:space="preserve">or why the two differs </w:t>
      </w:r>
      <w:bookmarkStart w:id="0" w:name="_GoBack"/>
      <w:bookmarkEnd w:id="0"/>
      <w:r w:rsidR="00592931">
        <w:t xml:space="preserve">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0F572A" w:rsidP="002F19C0">
      <w:pPr>
        <w:jc w:val="both"/>
      </w:pPr>
      <w:r>
        <w:t>There are a few points t</w:t>
      </w:r>
      <w:r w:rsidR="00497E6B">
        <w:t xml:space="preserve">o clarify, </w:t>
      </w:r>
      <w:r>
        <w:t>we believe. F</w:t>
      </w:r>
      <w:r w:rsidR="00497E6B">
        <w:t>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lastRenderedPageBreak/>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9B2" w:rsidRDefault="00EE29B2" w:rsidP="00F9158D">
      <w:pPr>
        <w:spacing w:after="0" w:line="240" w:lineRule="auto"/>
      </w:pPr>
      <w:r>
        <w:separator/>
      </w:r>
    </w:p>
  </w:endnote>
  <w:endnote w:type="continuationSeparator" w:id="0">
    <w:p w:rsidR="00EE29B2" w:rsidRDefault="00EE29B2" w:rsidP="00F9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9158D">
      <w:tc>
        <w:tcPr>
          <w:tcW w:w="918" w:type="dxa"/>
        </w:tcPr>
        <w:p w:rsidR="00F9158D" w:rsidRDefault="00F9158D">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754B9" w:rsidRPr="004754B9">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9158D" w:rsidRDefault="00F9158D">
          <w:pPr>
            <w:pStyle w:val="Footer"/>
          </w:pPr>
        </w:p>
      </w:tc>
    </w:tr>
  </w:tbl>
  <w:p w:rsidR="00F9158D" w:rsidRDefault="00F91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9B2" w:rsidRDefault="00EE29B2" w:rsidP="00F9158D">
      <w:pPr>
        <w:spacing w:after="0" w:line="240" w:lineRule="auto"/>
      </w:pPr>
      <w:r>
        <w:separator/>
      </w:r>
    </w:p>
  </w:footnote>
  <w:footnote w:type="continuationSeparator" w:id="0">
    <w:p w:rsidR="00EE29B2" w:rsidRDefault="00EE29B2" w:rsidP="00F91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13A3E"/>
    <w:rsid w:val="00013C7A"/>
    <w:rsid w:val="00027859"/>
    <w:rsid w:val="00027B2B"/>
    <w:rsid w:val="00052F2F"/>
    <w:rsid w:val="000561A6"/>
    <w:rsid w:val="00056BE5"/>
    <w:rsid w:val="0006018C"/>
    <w:rsid w:val="00066179"/>
    <w:rsid w:val="00075FA9"/>
    <w:rsid w:val="0008500E"/>
    <w:rsid w:val="000901D6"/>
    <w:rsid w:val="000A3F48"/>
    <w:rsid w:val="000B0622"/>
    <w:rsid w:val="000B2C5E"/>
    <w:rsid w:val="000B7903"/>
    <w:rsid w:val="000B7B75"/>
    <w:rsid w:val="000C00FD"/>
    <w:rsid w:val="000D0443"/>
    <w:rsid w:val="000D290F"/>
    <w:rsid w:val="000E3B28"/>
    <w:rsid w:val="000E4F6E"/>
    <w:rsid w:val="000E7FD2"/>
    <w:rsid w:val="000F572A"/>
    <w:rsid w:val="001127B3"/>
    <w:rsid w:val="001142F3"/>
    <w:rsid w:val="0013411B"/>
    <w:rsid w:val="00137B47"/>
    <w:rsid w:val="00143866"/>
    <w:rsid w:val="00150201"/>
    <w:rsid w:val="00154F29"/>
    <w:rsid w:val="00157533"/>
    <w:rsid w:val="0016094D"/>
    <w:rsid w:val="00163C7D"/>
    <w:rsid w:val="00166768"/>
    <w:rsid w:val="00171933"/>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802B6"/>
    <w:rsid w:val="002926A1"/>
    <w:rsid w:val="002963E8"/>
    <w:rsid w:val="002A0100"/>
    <w:rsid w:val="002A032F"/>
    <w:rsid w:val="002A061A"/>
    <w:rsid w:val="002A3A48"/>
    <w:rsid w:val="002A667F"/>
    <w:rsid w:val="002A736A"/>
    <w:rsid w:val="002C3DF6"/>
    <w:rsid w:val="002F19C0"/>
    <w:rsid w:val="00303B20"/>
    <w:rsid w:val="00312EDA"/>
    <w:rsid w:val="003269F7"/>
    <w:rsid w:val="00341D3C"/>
    <w:rsid w:val="00352CA2"/>
    <w:rsid w:val="00354251"/>
    <w:rsid w:val="00357954"/>
    <w:rsid w:val="0036087A"/>
    <w:rsid w:val="00387EE1"/>
    <w:rsid w:val="003A2E5C"/>
    <w:rsid w:val="003A7004"/>
    <w:rsid w:val="003D2B63"/>
    <w:rsid w:val="003D358E"/>
    <w:rsid w:val="003D6432"/>
    <w:rsid w:val="003E39A2"/>
    <w:rsid w:val="003E3D26"/>
    <w:rsid w:val="003F236D"/>
    <w:rsid w:val="004172A4"/>
    <w:rsid w:val="00434708"/>
    <w:rsid w:val="0043640F"/>
    <w:rsid w:val="0043777E"/>
    <w:rsid w:val="00442FCB"/>
    <w:rsid w:val="004430FD"/>
    <w:rsid w:val="004442F3"/>
    <w:rsid w:val="00450287"/>
    <w:rsid w:val="00462FF8"/>
    <w:rsid w:val="004717FB"/>
    <w:rsid w:val="004754B9"/>
    <w:rsid w:val="00482ECB"/>
    <w:rsid w:val="00485A17"/>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3FC9"/>
    <w:rsid w:val="0065034F"/>
    <w:rsid w:val="0066272D"/>
    <w:rsid w:val="006642B0"/>
    <w:rsid w:val="00694F60"/>
    <w:rsid w:val="006E749B"/>
    <w:rsid w:val="006F30F7"/>
    <w:rsid w:val="00720732"/>
    <w:rsid w:val="0072134E"/>
    <w:rsid w:val="00740455"/>
    <w:rsid w:val="007537BD"/>
    <w:rsid w:val="00754575"/>
    <w:rsid w:val="00760970"/>
    <w:rsid w:val="007611B6"/>
    <w:rsid w:val="00762F60"/>
    <w:rsid w:val="00767935"/>
    <w:rsid w:val="00773753"/>
    <w:rsid w:val="00785A12"/>
    <w:rsid w:val="00792117"/>
    <w:rsid w:val="00792489"/>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944EE"/>
    <w:rsid w:val="008A07C5"/>
    <w:rsid w:val="008A0F93"/>
    <w:rsid w:val="008A3EAC"/>
    <w:rsid w:val="008A65DA"/>
    <w:rsid w:val="008D4B40"/>
    <w:rsid w:val="008D788C"/>
    <w:rsid w:val="008E7573"/>
    <w:rsid w:val="008F13E1"/>
    <w:rsid w:val="00906060"/>
    <w:rsid w:val="0091001A"/>
    <w:rsid w:val="00915337"/>
    <w:rsid w:val="009153DD"/>
    <w:rsid w:val="009244AC"/>
    <w:rsid w:val="009266F9"/>
    <w:rsid w:val="00930F92"/>
    <w:rsid w:val="00942420"/>
    <w:rsid w:val="009449D3"/>
    <w:rsid w:val="009605C9"/>
    <w:rsid w:val="00976154"/>
    <w:rsid w:val="009A1FC4"/>
    <w:rsid w:val="009A44C6"/>
    <w:rsid w:val="009A6F84"/>
    <w:rsid w:val="009B0EF4"/>
    <w:rsid w:val="009B4C92"/>
    <w:rsid w:val="009C4FA0"/>
    <w:rsid w:val="009D45CF"/>
    <w:rsid w:val="009E6309"/>
    <w:rsid w:val="00A03185"/>
    <w:rsid w:val="00A03940"/>
    <w:rsid w:val="00A03A82"/>
    <w:rsid w:val="00A0484C"/>
    <w:rsid w:val="00A06547"/>
    <w:rsid w:val="00A40EF5"/>
    <w:rsid w:val="00A44D97"/>
    <w:rsid w:val="00A46915"/>
    <w:rsid w:val="00A47757"/>
    <w:rsid w:val="00A527B4"/>
    <w:rsid w:val="00A711BD"/>
    <w:rsid w:val="00A9290C"/>
    <w:rsid w:val="00AB228B"/>
    <w:rsid w:val="00AB2C7C"/>
    <w:rsid w:val="00AB6F38"/>
    <w:rsid w:val="00AC0364"/>
    <w:rsid w:val="00AD47A3"/>
    <w:rsid w:val="00AE61E8"/>
    <w:rsid w:val="00AF5ECE"/>
    <w:rsid w:val="00B049AC"/>
    <w:rsid w:val="00B063EA"/>
    <w:rsid w:val="00B1128B"/>
    <w:rsid w:val="00B1680D"/>
    <w:rsid w:val="00B24C98"/>
    <w:rsid w:val="00B264B3"/>
    <w:rsid w:val="00B31692"/>
    <w:rsid w:val="00B35D09"/>
    <w:rsid w:val="00B5176D"/>
    <w:rsid w:val="00B76339"/>
    <w:rsid w:val="00B85393"/>
    <w:rsid w:val="00B93DAA"/>
    <w:rsid w:val="00BB6EDE"/>
    <w:rsid w:val="00BC6FD0"/>
    <w:rsid w:val="00BE3069"/>
    <w:rsid w:val="00C16893"/>
    <w:rsid w:val="00C22C68"/>
    <w:rsid w:val="00C22CA8"/>
    <w:rsid w:val="00C244D1"/>
    <w:rsid w:val="00C32E08"/>
    <w:rsid w:val="00C37897"/>
    <w:rsid w:val="00C4687C"/>
    <w:rsid w:val="00C510D9"/>
    <w:rsid w:val="00C51477"/>
    <w:rsid w:val="00C57B9D"/>
    <w:rsid w:val="00C7210F"/>
    <w:rsid w:val="00C732C5"/>
    <w:rsid w:val="00CA1952"/>
    <w:rsid w:val="00CB71DF"/>
    <w:rsid w:val="00CC18B4"/>
    <w:rsid w:val="00CD0647"/>
    <w:rsid w:val="00CD48EB"/>
    <w:rsid w:val="00CE17B8"/>
    <w:rsid w:val="00CF2C46"/>
    <w:rsid w:val="00D210FA"/>
    <w:rsid w:val="00D26F64"/>
    <w:rsid w:val="00D513E3"/>
    <w:rsid w:val="00D70A03"/>
    <w:rsid w:val="00D7166C"/>
    <w:rsid w:val="00D731C3"/>
    <w:rsid w:val="00D747DF"/>
    <w:rsid w:val="00D838A3"/>
    <w:rsid w:val="00D867EE"/>
    <w:rsid w:val="00D91BEB"/>
    <w:rsid w:val="00D9213A"/>
    <w:rsid w:val="00D93170"/>
    <w:rsid w:val="00DA7CE8"/>
    <w:rsid w:val="00DB15DD"/>
    <w:rsid w:val="00DC0736"/>
    <w:rsid w:val="00DC13E3"/>
    <w:rsid w:val="00DC75EA"/>
    <w:rsid w:val="00DD3FBD"/>
    <w:rsid w:val="00DD59AA"/>
    <w:rsid w:val="00DD7810"/>
    <w:rsid w:val="00DF4996"/>
    <w:rsid w:val="00DF541B"/>
    <w:rsid w:val="00DF7BC4"/>
    <w:rsid w:val="00E2471D"/>
    <w:rsid w:val="00E31062"/>
    <w:rsid w:val="00E32D03"/>
    <w:rsid w:val="00E32E03"/>
    <w:rsid w:val="00E479C7"/>
    <w:rsid w:val="00E56956"/>
    <w:rsid w:val="00E61C10"/>
    <w:rsid w:val="00E703D2"/>
    <w:rsid w:val="00E8016A"/>
    <w:rsid w:val="00E82AC4"/>
    <w:rsid w:val="00EA6478"/>
    <w:rsid w:val="00EB275F"/>
    <w:rsid w:val="00EC1E40"/>
    <w:rsid w:val="00ED41A0"/>
    <w:rsid w:val="00EE29B2"/>
    <w:rsid w:val="00F11A51"/>
    <w:rsid w:val="00F12EE7"/>
    <w:rsid w:val="00F1516B"/>
    <w:rsid w:val="00F3324D"/>
    <w:rsid w:val="00F57085"/>
    <w:rsid w:val="00F732DB"/>
    <w:rsid w:val="00F81B8F"/>
    <w:rsid w:val="00F855EC"/>
    <w:rsid w:val="00F9158D"/>
    <w:rsid w:val="00F95F2C"/>
    <w:rsid w:val="00FA2A2B"/>
    <w:rsid w:val="00FA4540"/>
    <w:rsid w:val="00FC5B52"/>
    <w:rsid w:val="00FC7494"/>
    <w:rsid w:val="00FE4D06"/>
    <w:rsid w:val="00FF04B4"/>
    <w:rsid w:val="00FF0D0D"/>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10</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Thanh-Hai Le</cp:lastModifiedBy>
  <cp:revision>270</cp:revision>
  <dcterms:created xsi:type="dcterms:W3CDTF">2014-07-01T02:10:00Z</dcterms:created>
  <dcterms:modified xsi:type="dcterms:W3CDTF">2014-08-09T16:32:00Z</dcterms:modified>
</cp:coreProperties>
</file>