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 xml:space="preserve">Usually the derivation of the PDF of the ratio of independent random variables implies an integration using a </w:t>
      </w:r>
      <w:proofErr w:type="spellStart"/>
      <w:proofErr w:type="gramStart"/>
      <w:r w:rsidR="004442F3" w:rsidRPr="004442F3">
        <w:rPr>
          <w:b/>
        </w:rPr>
        <w:t>Jacobian</w:t>
      </w:r>
      <w:proofErr w:type="spellEnd"/>
      <w:r w:rsidR="004442F3" w:rsidRPr="004442F3">
        <w:rPr>
          <w:b/>
        </w:rPr>
        <w:t>,</w:t>
      </w:r>
      <w:proofErr w:type="gramEnd"/>
      <w:r w:rsidR="004442F3" w:rsidRPr="004442F3">
        <w:rPr>
          <w:b/>
        </w:rPr>
        <w:t xml:space="preserve">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 xml:space="preserve">The </w:t>
      </w:r>
      <w:proofErr w:type="gramStart"/>
      <w:r w:rsidRPr="000E3B28">
        <w:rPr>
          <w:b/>
        </w:rPr>
        <w:t>pdf</w:t>
      </w:r>
      <w:r w:rsidR="003D358E">
        <w:rPr>
          <w:b/>
        </w:rPr>
        <w:t>[</w:t>
      </w:r>
      <w:proofErr w:type="gramEnd"/>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lastRenderedPageBreak/>
        <w:t xml:space="preserve">The </w:t>
      </w:r>
      <w:proofErr w:type="gramStart"/>
      <w:r>
        <w:t>pdf</w:t>
      </w:r>
      <w:r w:rsidR="003D358E">
        <w:t>[</w:t>
      </w:r>
      <w:proofErr w:type="gramEnd"/>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r w:rsidR="001C53CA">
        <w:t xml:space="preserve"> For example, </w:t>
      </w:r>
      <w:proofErr w:type="spellStart"/>
      <w:proofErr w:type="gramStart"/>
      <w:r w:rsidR="001C53CA">
        <w:t>Eqn</w:t>
      </w:r>
      <w:proofErr w:type="spellEnd"/>
      <w:r w:rsidR="001C53CA">
        <w:t>(</w:t>
      </w:r>
      <w:proofErr w:type="gramEnd"/>
      <w:r w:rsidR="001C53CA">
        <w:t>16)</w:t>
      </w:r>
      <w:r w:rsidR="00352CA2">
        <w:t xml:space="preserve"> illustrates an observable which behaves like</w:t>
      </w:r>
      <w:r w:rsidR="005731EF">
        <w:t xml:space="preserve"> product of multiples </w:t>
      </w:r>
      <w:r w:rsidR="002038AD">
        <w:t>random variables.</w:t>
      </w:r>
    </w:p>
    <w:p w:rsidR="000E3B28" w:rsidRDefault="000E3B28" w:rsidP="002F19C0">
      <w:pPr>
        <w:jc w:val="both"/>
      </w:pPr>
    </w:p>
    <w:p w:rsidR="000E3B28" w:rsidRPr="00554C51" w:rsidRDefault="000E3B28" w:rsidP="002F19C0">
      <w:pPr>
        <w:jc w:val="both"/>
        <w:rPr>
          <w:b/>
        </w:rPr>
      </w:pPr>
      <w:r w:rsidRPr="00554C51">
        <w:rPr>
          <w:b/>
        </w:rPr>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w:t>
      </w:r>
      <w:proofErr w:type="gramStart"/>
      <w:r w:rsidR="00554C51" w:rsidRPr="00554C51">
        <w:rPr>
          <w:rFonts w:eastAsiaTheme="minorEastAsia"/>
          <w:b/>
        </w:rPr>
        <w:t>ln(</w:t>
      </w:r>
      <w:proofErr w:type="gramEnd"/>
      <w:r w:rsidR="00554C51" w:rsidRPr="00554C51">
        <w:rPr>
          <w:rFonts w:eastAsiaTheme="minorEastAsia"/>
          <w:b/>
        </w:rPr>
        <w:t>Q)!</w:t>
      </w:r>
      <w:r w:rsidR="0052586B">
        <w:rPr>
          <w:rFonts w:eastAsiaTheme="minorEastAsia"/>
          <w:b/>
        </w:rPr>
        <w:t xml:space="preserve"> I</w:t>
      </w:r>
      <w:r w:rsidR="00554C51" w:rsidRPr="00554C51">
        <w:rPr>
          <w:rFonts w:eastAsiaTheme="minorEastAsia"/>
          <w:b/>
        </w:rPr>
        <w:t xml:space="preserve">s it the </w:t>
      </w:r>
      <w:proofErr w:type="spellStart"/>
      <w:r w:rsidR="00554C51" w:rsidRPr="00554C51">
        <w:rPr>
          <w:rFonts w:eastAsiaTheme="minorEastAsia"/>
          <w:b/>
        </w:rPr>
        <w:t>Wilk’s</w:t>
      </w:r>
      <w:proofErr w:type="spellEnd"/>
      <w:r w:rsidR="00554C51" w:rsidRPr="00554C51">
        <w:rPr>
          <w:rFonts w:eastAsiaTheme="minorEastAsia"/>
          <w:b/>
        </w:rPr>
        <w:t xml:space="preserve">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proofErr w:type="gramStart"/>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w:t>
      </w:r>
      <w:proofErr w:type="gramEnd"/>
      <w:r w:rsidR="00C37897">
        <w:rPr>
          <w:rFonts w:eastAsiaTheme="minorEastAsia"/>
        </w:rPr>
        <w:t xml:space="preserve"> following the chi-square</w:t>
      </w:r>
      <w:r w:rsidR="00DD7810">
        <w:rPr>
          <w:rFonts w:eastAsiaTheme="minorEastAsia"/>
        </w:rPr>
        <w:t>d</w:t>
      </w:r>
      <w:r w:rsidR="00C37897">
        <w:rPr>
          <w:rFonts w:eastAsiaTheme="minorEastAsia"/>
        </w:rPr>
        <w:t xml:space="preserve"> distribution. </w:t>
      </w:r>
      <w:r w:rsidR="00DD7810">
        <w:rPr>
          <w:rFonts w:eastAsiaTheme="minorEastAsia"/>
        </w:rPr>
        <w:t xml:space="preserve">Given that the PDF of chi-squared distribution is </w:t>
      </w:r>
      <w:proofErr w:type="gramStart"/>
      <w:r w:rsidR="00DD7810">
        <w:rPr>
          <w:rFonts w:eastAsiaTheme="minorEastAsia"/>
        </w:rPr>
        <w:t>available</w:t>
      </w:r>
      <w:r w:rsidR="008D4B40">
        <w:rPr>
          <w:rFonts w:eastAsiaTheme="minorEastAsia"/>
        </w:rPr>
        <w:t xml:space="preserve"> </w:t>
      </w:r>
      <w:proofErr w:type="gramEnd"/>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Pr>
          <w:rFonts w:eastAsiaTheme="minorEastAsia"/>
        </w:rPr>
        <w:t>is 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 xml:space="preserve">It is not the same with </w:t>
      </w:r>
      <w:proofErr w:type="spellStart"/>
      <w:r>
        <w:rPr>
          <w:rFonts w:eastAsiaTheme="minorEastAsia"/>
        </w:rPr>
        <w:t>Wilk’s</w:t>
      </w:r>
      <w:proofErr w:type="spellEnd"/>
      <w:r>
        <w:rPr>
          <w:rFonts w:eastAsiaTheme="minorEastAsia"/>
        </w:rPr>
        <w:t xml:space="preserve">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t>
      </w:r>
      <w:proofErr w:type="spellStart"/>
      <w:r>
        <w:rPr>
          <w:rFonts w:eastAsiaTheme="minorEastAsia"/>
        </w:rPr>
        <w:t>Wishart</w:t>
      </w:r>
      <w:proofErr w:type="spellEnd"/>
      <w:r>
        <w:rPr>
          <w:rFonts w:eastAsiaTheme="minorEastAsia"/>
        </w:rPr>
        <w:t xml:space="preserve">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proofErr w:type="spellStart"/>
      <w:r w:rsidR="00856484">
        <w:rPr>
          <w:rFonts w:eastAsiaTheme="minorEastAsia"/>
        </w:rPr>
        <w:t>Wilk’s</w:t>
      </w:r>
      <w:proofErr w:type="spellEnd"/>
      <w:r>
        <w:rPr>
          <w:rFonts w:eastAsiaTheme="minorEastAsia"/>
        </w:rPr>
        <w:t xml:space="preserve">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 xml:space="preserve">where, i.e. the first author’s to be finalized </w:t>
      </w:r>
      <w:proofErr w:type="gramStart"/>
      <w:r w:rsidR="00C732C5">
        <w:rPr>
          <w:rFonts w:eastAsiaTheme="minorEastAsia"/>
        </w:rPr>
        <w:t>thesis,</w:t>
      </w:r>
      <w:proofErr w:type="gramEnd"/>
      <w:r w:rsidR="00C732C5">
        <w:rPr>
          <w:rFonts w:eastAsiaTheme="minorEastAsia"/>
        </w:rPr>
        <w:t xml:space="preserve">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w:t>
      </w:r>
      <w:r w:rsidR="000B7903">
        <w:rPr>
          <w:rFonts w:eastAsiaTheme="minorEastAsia"/>
        </w:rPr>
        <w:t>t</w:t>
      </w:r>
      <w:r w:rsidR="0072134E">
        <w:rPr>
          <w:rFonts w:eastAsiaTheme="minorEastAsia"/>
        </w:rPr>
        <w:t xml:space="preserve">he equation </w:t>
      </w:r>
      <w:r w:rsidR="002422D7">
        <w:rPr>
          <w:rFonts w:eastAsiaTheme="minorEastAsia"/>
        </w:rPr>
        <w:t xml:space="preserve">for </w:t>
      </w:r>
      <w:proofErr w:type="gramStart"/>
      <w:r w:rsidR="002422D7">
        <w:rPr>
          <w:rFonts w:eastAsiaTheme="minorEastAsia"/>
        </w:rPr>
        <w:t>ln(</w:t>
      </w:r>
      <w:proofErr w:type="gramEnd"/>
      <w:r w:rsidR="002422D7">
        <w:rPr>
          <w:rFonts w:eastAsiaTheme="minorEastAsia"/>
        </w:rPr>
        <w:t xml:space="preserve">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 xml:space="preserve">This step is carried out, in various different ways, in our detailed work. </w:t>
      </w:r>
      <w:r w:rsidR="008D4B40">
        <w:t xml:space="preserve">However we do not see </w:t>
      </w:r>
      <w:r w:rsidR="00B35D09">
        <w:t xml:space="preserve">feel that </w:t>
      </w:r>
      <w:r w:rsidR="008D4B40">
        <w:t xml:space="preserve">showing </w:t>
      </w:r>
      <w:r w:rsidR="00E2471D">
        <w:t xml:space="preserve">a </w:t>
      </w:r>
      <w:r w:rsidR="00B049AC">
        <w:t>stochastic</w:t>
      </w:r>
      <w:r w:rsidR="00E2471D">
        <w:t xml:space="preserve"> Monte-Carlo simulation matching a theoretical </w:t>
      </w:r>
      <w:r w:rsidR="00CE17B8">
        <w:t xml:space="preserve">statistics </w:t>
      </w:r>
      <w:r w:rsidR="00E2471D">
        <w:t>model</w:t>
      </w:r>
      <w:r w:rsidR="00B35D09">
        <w:t xml:space="preserve"> does not warrant enough value to be included in this paper</w:t>
      </w:r>
      <w:r w:rsidR="00E2471D">
        <w:t>.</w:t>
      </w:r>
      <w:r w:rsidR="00F1516B">
        <w:t xml:space="preserve"> </w:t>
      </w:r>
      <w:r w:rsidR="00D9213A">
        <w:t xml:space="preserve">It probably would be nicer to show that the model can be validated against some simulator. </w:t>
      </w:r>
      <w:r w:rsidR="00F1516B">
        <w:t xml:space="preserve">Unfortunately, we do not have access to a </w:t>
      </w:r>
      <w:r w:rsidR="00A9290C">
        <w:t xml:space="preserve">decent </w:t>
      </w:r>
      <w:r w:rsidR="00F1516B">
        <w:t>physical POLSAR simulator.</w:t>
      </w:r>
      <w:r w:rsidR="00E2471D">
        <w:t xml:space="preserve"> </w:t>
      </w:r>
      <w:r w:rsidR="00387EE1">
        <w:t>Anyway</w:t>
      </w:r>
      <w:r w:rsidR="00F1516B">
        <w:t xml:space="preserve">, we felt, it is more important that this paper needs to validate the model against real-life practical data. </w:t>
      </w:r>
      <w:r w:rsidR="00D93170">
        <w:t xml:space="preserve">Thus, </w:t>
      </w:r>
      <w:r w:rsidR="00387EE1">
        <w:t xml:space="preserve">all the rest </w:t>
      </w:r>
      <w:r>
        <w:t xml:space="preserve">is kept out of this paper </w:t>
      </w:r>
      <w:r w:rsidR="00387EE1">
        <w:t>in the interest of brevity / space constraint</w:t>
      </w:r>
      <w:r>
        <w:t>.</w:t>
      </w:r>
    </w:p>
    <w:p w:rsidR="00A47757" w:rsidRDefault="00A47757" w:rsidP="002F19C0">
      <w:pPr>
        <w:jc w:val="both"/>
      </w:pPr>
    </w:p>
    <w:p w:rsidR="00A47757" w:rsidRPr="00E479C7" w:rsidRDefault="00A47757" w:rsidP="002F19C0">
      <w:pPr>
        <w:jc w:val="both"/>
        <w:rPr>
          <w:b/>
        </w:rPr>
      </w:pPr>
      <w:r w:rsidRPr="00E479C7">
        <w:rPr>
          <w:b/>
        </w:rPr>
        <w:lastRenderedPageBreak/>
        <w:t>Comment:</w:t>
      </w:r>
    </w:p>
    <w:p w:rsidR="00A47757" w:rsidRPr="00E479C7" w:rsidRDefault="00A47757" w:rsidP="002F19C0">
      <w:pPr>
        <w:jc w:val="both"/>
        <w:rPr>
          <w:b/>
        </w:rPr>
      </w:pPr>
      <w:r w:rsidRPr="00E479C7">
        <w:rPr>
          <w:b/>
        </w:rPr>
        <w:t>The various histogram</w:t>
      </w:r>
      <w:r w:rsidR="00906060">
        <w:rPr>
          <w:b/>
        </w:rPr>
        <w:t>s</w:t>
      </w:r>
      <w:r w:rsidRPr="00E479C7">
        <w:rPr>
          <w:b/>
        </w:rPr>
        <w:t xml:space="preserve"> may</w:t>
      </w:r>
      <w:r w:rsidR="00906060">
        <w:rPr>
          <w:b/>
        </w:rPr>
        <w:t xml:space="preserve"> </w:t>
      </w:r>
      <w:r w:rsidRPr="00E479C7">
        <w:rPr>
          <w:b/>
        </w:rPr>
        <w:t>be easier to display in a log-probability axis especially for the tail behaviour.</w:t>
      </w:r>
    </w:p>
    <w:p w:rsidR="00A47757" w:rsidRDefault="00A47757" w:rsidP="002F19C0">
      <w:pPr>
        <w:jc w:val="both"/>
      </w:pPr>
      <w:r>
        <w:t>Answer:</w:t>
      </w:r>
    </w:p>
    <w:p w:rsidR="00A47757" w:rsidRDefault="003269F7" w:rsidP="002F19C0">
      <w:pPr>
        <w:jc w:val="both"/>
      </w:pPr>
      <w:r>
        <w:t>Interestingly, o</w:t>
      </w:r>
      <w:r w:rsidR="00906060">
        <w:t>ur work does include</w:t>
      </w:r>
      <w:r w:rsidR="00A47757">
        <w:t xml:space="preserve"> log-transformed ve</w:t>
      </w:r>
      <w:r w:rsidR="00387EE1">
        <w:t>rsion</w:t>
      </w:r>
      <w:r w:rsidR="00906060">
        <w:t>s of the proposed models. They are found to be not only consistent, i.e. independent of the underlying signal, but also homoscedastic. Unfortunately they</w:t>
      </w:r>
      <w:r w:rsidR="00387EE1">
        <w:t xml:space="preserve"> </w:t>
      </w:r>
      <w:r w:rsidR="00906060">
        <w:t xml:space="preserve">were </w:t>
      </w:r>
      <w:r w:rsidR="00C57B9D">
        <w:t xml:space="preserve">also </w:t>
      </w:r>
      <w:r w:rsidR="00387EE1">
        <w:t xml:space="preserve">removed </w:t>
      </w:r>
      <w:r w:rsidR="00E61C10">
        <w:t xml:space="preserve">from this paper </w:t>
      </w:r>
      <w:r w:rsidR="00387EE1">
        <w:t>due to the space constraint</w:t>
      </w:r>
      <w:r w:rsidR="00A47757">
        <w: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w:t>
      </w:r>
      <w:r w:rsidR="009605C9">
        <w:t xml:space="preserve">homogeneous </w:t>
      </w:r>
      <w:r w:rsidR="001142F3">
        <w:t xml:space="preserve">patches of the </w:t>
      </w:r>
      <w:r>
        <w:t>AIRSAR and RADARSAT</w:t>
      </w:r>
      <w:r w:rsidR="000C00FD">
        <w:t>2</w:t>
      </w:r>
      <w:r>
        <w:t xml:space="preserve"> datasets are 50x50 and 300x300 respectively. The computed L values are: </w:t>
      </w:r>
      <w:r w:rsidR="00137B47">
        <w:t>3.2752 and 3.4241 respectively</w:t>
      </w:r>
      <w:r w:rsidR="00A711BD">
        <w:t xml:space="preserve">. </w:t>
      </w:r>
      <w:r w:rsidR="00442FCB">
        <w:t xml:space="preserve"> This</w:t>
      </w:r>
      <w:r w:rsidR="009605C9">
        <w:t xml:space="preserve"> information </w:t>
      </w:r>
      <w:r w:rsidR="003A7004">
        <w:t xml:space="preserve">is </w:t>
      </w:r>
      <w:r w:rsidR="009605C9">
        <w:t>added</w:t>
      </w:r>
      <w:r w:rsidR="005E7090">
        <w:t xml:space="preserve"> into revised article.</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w:t>
      </w:r>
      <w:r w:rsidR="00F81B8F">
        <w:t>posed models for POLSAR include</w:t>
      </w:r>
      <w:r w:rsidR="00FA2A2B">
        <w:t xml:space="preserve"> the traditional model</w:t>
      </w:r>
      <w:r w:rsidR="00F81B8F">
        <w:t>s</w:t>
      </w:r>
      <w:r w:rsidR="00FA2A2B">
        <w:t xml:space="preserve"> for SAR </w:t>
      </w:r>
      <w:r w:rsidR="00F81B8F">
        <w:t xml:space="preserve">intensity </w:t>
      </w:r>
      <w:r w:rsidR="00FA2A2B">
        <w:t>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mentioned in the paper. </w:t>
      </w:r>
      <w:r w:rsidR="00B5176D">
        <w:t xml:space="preserve">The paper suggests that its proposed models for multi-dimensional POLSAR also includes the traditional model for SAR as its special case (d=1). Moreover, its </w:t>
      </w:r>
      <w:r w:rsidR="00D26F64">
        <w:t xml:space="preserve">scalar </w:t>
      </w:r>
      <w:r w:rsidR="00B5176D">
        <w:t xml:space="preserve">observable leads to consistent measures of distance, </w:t>
      </w:r>
      <w:r w:rsidR="005A2DD3">
        <w:t xml:space="preserve">while </w:t>
      </w:r>
      <w:r w:rsidR="00B5176D">
        <w:t xml:space="preserve">other </w:t>
      </w:r>
      <w:r w:rsidR="005A2DD3">
        <w:t xml:space="preserve">scalar </w:t>
      </w:r>
      <w:r w:rsidR="00B5176D">
        <w:t>observables</w:t>
      </w:r>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from </w:t>
      </w:r>
      <w:r w:rsidR="008260E5">
        <w:t>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 xml:space="preserve">They also do not acknowledge that much of the useful information in a </w:t>
      </w:r>
      <w:proofErr w:type="spellStart"/>
      <w:r w:rsidRPr="009A44C6">
        <w:rPr>
          <w:b/>
        </w:rPr>
        <w:t>polarimetric</w:t>
      </w:r>
      <w:proofErr w:type="spellEnd"/>
      <w:r w:rsidRPr="009A44C6">
        <w:rPr>
          <w:b/>
        </w:rPr>
        <w:t xml:space="preserve"> image is in the relationship between the terms of the scattering matrix.</w:t>
      </w:r>
    </w:p>
    <w:p w:rsidR="002963E8" w:rsidRDefault="002963E8" w:rsidP="002F19C0">
      <w:pPr>
        <w:jc w:val="both"/>
      </w:pPr>
      <w:r>
        <w:t>Answer:</w:t>
      </w:r>
    </w:p>
    <w:p w:rsidR="002963E8" w:rsidRDefault="002963E8" w:rsidP="002F19C0">
      <w:pPr>
        <w:jc w:val="both"/>
      </w:pPr>
      <w:r>
        <w:t xml:space="preserve">The paper does acknowledge that the proposed </w:t>
      </w:r>
      <w:r w:rsidR="003F236D">
        <w:t xml:space="preserve">models are NOT lossless (P7 L27), since they are scalar representation of a multidimensional dataset. Evidently, what may be </w:t>
      </w:r>
      <w:r w:rsidR="000B2C5E">
        <w:t>lost</w:t>
      </w:r>
      <w:r>
        <w:t xml:space="preserve"> </w:t>
      </w:r>
      <w:r w:rsidR="000B2C5E">
        <w:t>include</w:t>
      </w:r>
      <w:r>
        <w:t xml:space="preserve"> </w:t>
      </w:r>
      <w:r w:rsidR="003F236D">
        <w:t xml:space="preserve">the </w:t>
      </w:r>
      <w:r>
        <w:t xml:space="preserve">intra-relationship among the terms of the </w:t>
      </w:r>
      <w:r w:rsidR="003F236D">
        <w:t>multidimensional data</w:t>
      </w:r>
      <w:r>
        <w:t xml:space="preserve">. </w:t>
      </w:r>
      <w:r w:rsidR="00450287">
        <w:t>We believe, however, that the lost is minimal in the class of possible scalar observables</w:t>
      </w:r>
      <w:r w:rsidR="00013C7A">
        <w:t xml:space="preserve"> for POLSAR</w:t>
      </w:r>
      <w:r w:rsidR="00450287">
        <w:t xml:space="preserve">. </w:t>
      </w:r>
      <w:r w:rsidR="006642B0">
        <w:t xml:space="preserve">There is a couple of evidence for that. First the proposed </w:t>
      </w:r>
      <w:r w:rsidR="003F236D">
        <w:t>scalar observables are representative, i.e.</w:t>
      </w:r>
      <w:r w:rsidR="006642B0">
        <w:t xml:space="preserve"> they</w:t>
      </w:r>
      <w:r w:rsidR="003F236D">
        <w:t xml:space="preserve"> </w:t>
      </w:r>
      <w:r w:rsidR="00FC5B52">
        <w:t>lead</w:t>
      </w:r>
      <w:r w:rsidR="003F236D">
        <w:t xml:space="preserve"> to consistent discrimination measures. </w:t>
      </w:r>
      <w:r w:rsidR="006642B0">
        <w:t xml:space="preserve">Second, when the multidimensional dataset itself is collapsed into single dimension, the proposed model degrades smoothly into the widely accepted model for the single-channel SAR. </w:t>
      </w:r>
      <w:r w:rsidR="002C3DF6">
        <w:t>T</w:t>
      </w:r>
      <w:r>
        <w:t xml:space="preserve">he </w:t>
      </w:r>
      <w:r w:rsidR="002C3DF6">
        <w:t xml:space="preserve">revised text is </w:t>
      </w:r>
      <w:r>
        <w:t>rewritten</w:t>
      </w:r>
      <w:r w:rsidR="00C51477">
        <w:t xml:space="preserve"> to </w:t>
      </w:r>
      <w:r w:rsidR="003D6432">
        <w:t xml:space="preserve">give further emphasis to </w:t>
      </w:r>
      <w:r w:rsidR="00C51477">
        <w:t>the points above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The paper suggests that the proposed determinant, determinant-ratio or change-ratio</w:t>
      </w:r>
      <w:r w:rsidR="00F95F2C">
        <w:t xml:space="preserve"> models for POLSAR also include</w:t>
      </w:r>
      <w:r>
        <w:t xml:space="preserve"> the traditional models for SAR intensity, SAR intensity-ratio and SAR change-ratio. Thus their usage pattern can be learned from the practical use of these SAR models. </w:t>
      </w:r>
      <w:r w:rsidR="00482ECB">
        <w:t>Still a new paragraph 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w:t>
      </w:r>
      <w:r w:rsidR="00CC18B4">
        <w:t xml:space="preserve">several </w:t>
      </w:r>
      <w:r>
        <w:t xml:space="preserve">scalar and representative observables for POLSAR. </w:t>
      </w:r>
      <w:r w:rsidR="007E133E">
        <w:t xml:space="preserve">These are important, we feel, since many different techniques have been shown to be derived from similar discrimination </w:t>
      </w:r>
      <w:r w:rsidR="00A06547">
        <w:t>measures</w:t>
      </w:r>
      <w:r w:rsidR="007E133E">
        <w:t xml:space="preserve">. </w:t>
      </w:r>
      <w:r w:rsidR="00D210FA">
        <w:t xml:space="preserve">Since </w:t>
      </w:r>
      <w:r w:rsidR="00CF2C46">
        <w:t xml:space="preserve">it is not </w:t>
      </w:r>
      <w:r w:rsidR="00D210FA">
        <w:t xml:space="preserve">the </w:t>
      </w:r>
      <w:r w:rsidR="00CF2C46">
        <w:t xml:space="preserve">focus of this </w:t>
      </w:r>
      <w:r w:rsidR="00D210FA">
        <w:t xml:space="preserve">paper </w:t>
      </w:r>
      <w:r w:rsidR="00CF2C46">
        <w:t xml:space="preserve">to </w:t>
      </w:r>
      <w:r w:rsidR="00D210FA">
        <w:t>propose new procedures / application, the authors feel that the</w:t>
      </w:r>
      <w:r w:rsidR="006029C2">
        <w:t xml:space="preserve"> usual</w:t>
      </w:r>
      <w:r w:rsidR="00D210FA">
        <w:t xml:space="preserve"> </w:t>
      </w:r>
      <w:r w:rsidR="002A3A48">
        <w:t>‘’</w:t>
      </w:r>
      <w:r w:rsidR="00D210FA">
        <w:t>comparison with established procedures” is not needed</w:t>
      </w:r>
      <w:r w:rsidR="006029C2">
        <w:t xml:space="preserve"> in this specific case</w:t>
      </w:r>
      <w:r w:rsidR="00D210FA">
        <w:t xml:space="preserve">. </w:t>
      </w:r>
    </w:p>
    <w:p w:rsidR="003A2E5C" w:rsidRPr="0052586B" w:rsidRDefault="006E749B" w:rsidP="003A2E5C">
      <w:pPr>
        <w:jc w:val="both"/>
      </w:pPr>
      <w:r>
        <w:t xml:space="preserve">Instead this paper </w:t>
      </w:r>
      <w:r w:rsidR="00052F2F">
        <w:t>focus</w:t>
      </w:r>
      <w:r>
        <w:t>es</w:t>
      </w:r>
      <w:r w:rsidR="00052F2F">
        <w:t xml:space="preserve"> on comparing</w:t>
      </w:r>
      <w:r w:rsidR="00D210FA">
        <w:t xml:space="preserve"> </w:t>
      </w:r>
      <w:r w:rsidR="00AF5ECE">
        <w:t xml:space="preserve">the proposed models </w:t>
      </w:r>
      <w:r w:rsidR="00D210FA">
        <w:t xml:space="preserve">with existing models for both SAR and POLSAR and </w:t>
      </w:r>
      <w:r w:rsidR="00AB2C7C">
        <w:t xml:space="preserve">their </w:t>
      </w:r>
      <w:r w:rsidR="00D210FA">
        <w:t xml:space="preserve">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lastRenderedPageBreak/>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In comparison with our proposed model, t</w:t>
      </w:r>
      <w:r w:rsidR="00075FA9">
        <w:t xml:space="preserve">heir </w:t>
      </w:r>
      <w:r w:rsidR="00845FA2">
        <w:t xml:space="preserve">mathematical equations </w:t>
      </w:r>
      <w:r w:rsidR="005B4A6A">
        <w:t>are evidently complex</w:t>
      </w:r>
      <w:r w:rsidR="00075FA9">
        <w:t>.</w:t>
      </w:r>
      <w:r w:rsidR="00180813">
        <w:t xml:space="preserve"> </w:t>
      </w:r>
      <w:r w:rsidR="00163C7D">
        <w:t xml:space="preserve">These citations </w:t>
      </w:r>
      <w:r w:rsidR="007611B6">
        <w:t xml:space="preserve">have already been included in the related work section. They </w:t>
      </w:r>
      <w:r w:rsidR="00163C7D">
        <w:t xml:space="preserve">are </w:t>
      </w:r>
      <w:r w:rsidR="007611B6">
        <w:t xml:space="preserve">now </w:t>
      </w:r>
      <w:r w:rsidR="00163C7D">
        <w:t xml:space="preserve">added into the </w:t>
      </w:r>
      <w:r w:rsidR="007611B6">
        <w:t xml:space="preserve">specified location in the </w:t>
      </w:r>
      <w:r w:rsidR="00163C7D">
        <w:t>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proofErr w:type="spellStart"/>
      <w:proofErr w:type="gramStart"/>
      <w:r w:rsidR="00F12EE7">
        <w:rPr>
          <w:b/>
        </w:rPr>
        <w:t>p,</w:t>
      </w:r>
      <w:proofErr w:type="gramEnd"/>
      <w:r w:rsidR="00F12EE7">
        <w:rPr>
          <w:b/>
        </w:rPr>
        <w:t>q,r,s</w:t>
      </w:r>
      <w:proofErr w:type="spellEnd"/>
      <w:r w:rsidR="00F12EE7">
        <w:rPr>
          <w:b/>
        </w:rPr>
        <w:t xml:space="preserve"> needs to be defined.</w:t>
      </w:r>
    </w:p>
    <w:p w:rsidR="00A40EF5" w:rsidRDefault="00A40EF5" w:rsidP="002F19C0">
      <w:pPr>
        <w:jc w:val="both"/>
      </w:pPr>
      <w:r>
        <w:t>Answer:</w:t>
      </w:r>
    </w:p>
    <w:p w:rsidR="00E703D2" w:rsidRDefault="00A40EF5" w:rsidP="002F19C0">
      <w:pPr>
        <w:jc w:val="both"/>
      </w:pPr>
      <w:r>
        <w:t xml:space="preserve">1-7 list out different </w:t>
      </w:r>
      <w:proofErr w:type="spellStart"/>
      <w:r>
        <w:t>univariate</w:t>
      </w:r>
      <w:proofErr w:type="spellEnd"/>
      <w:r>
        <w:t xml:space="preserve"> POLSAR observables, for which statistical models have been proposed in the cited publications. </w:t>
      </w:r>
      <w:r w:rsidR="00FF747C">
        <w:t>T</w:t>
      </w:r>
      <w:r>
        <w:t>he text may be a bit hard to decode</w:t>
      </w:r>
      <w:r w:rsidR="00171933">
        <w:t xml:space="preserve"> but we feel that it is correct</w:t>
      </w:r>
      <w:r>
        <w:t>. The text</w:t>
      </w:r>
      <w:r w:rsidR="00FF747C">
        <w:t>, however,</w:t>
      </w:r>
      <w:r>
        <w:t xml:space="preserve"> is rewritten in the revised paper.</w:t>
      </w:r>
      <w:r w:rsidR="00F12EE7">
        <w:t xml:space="preserve"> </w:t>
      </w:r>
    </w:p>
    <w:p w:rsidR="00157533" w:rsidRDefault="00F12EE7" w:rsidP="002F19C0">
      <w:pPr>
        <w:jc w:val="both"/>
      </w:pPr>
      <w:proofErr w:type="spellStart"/>
      <w:proofErr w:type="gramStart"/>
      <w:r>
        <w:t>p,</w:t>
      </w:r>
      <w:proofErr w:type="gramEnd"/>
      <w:r>
        <w:t>q,r,s</w:t>
      </w:r>
      <w:proofErr w:type="spellEnd"/>
      <w:r>
        <w:t xml:space="preserve"> are notation indicating any of the commonly used polarization combination (i.e. </w:t>
      </w:r>
      <w:proofErr w:type="spellStart"/>
      <w:r>
        <w:t>hh,vv,hv</w:t>
      </w:r>
      <w:proofErr w:type="spellEnd"/>
      <w:r>
        <w:t>)</w:t>
      </w:r>
      <w:r w:rsidR="00D747DF">
        <w:t xml:space="preserve">. The explanation </w:t>
      </w:r>
      <w:r w:rsidR="00E703D2">
        <w:t xml:space="preserve">is </w:t>
      </w:r>
      <w:r w:rsidR="00D747DF">
        <w:t xml:space="preserve">added in the </w:t>
      </w:r>
      <w:r w:rsidR="004717FB">
        <w:t xml:space="preserve">revised </w:t>
      </w:r>
      <w:r w:rsidR="00D747DF">
        <w:t>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r w:rsidR="002A061A">
        <w:rPr>
          <w:b/>
        </w:rPr>
        <w:t>?</w:t>
      </w:r>
    </w:p>
    <w:p w:rsidR="00DA7CE8" w:rsidRDefault="00DA7CE8" w:rsidP="002F19C0">
      <w:pPr>
        <w:jc w:val="both"/>
      </w:pPr>
      <w:r>
        <w:t>Answer:</w:t>
      </w:r>
    </w:p>
    <w:p w:rsidR="009A1FC4" w:rsidRDefault="00DA7CE8" w:rsidP="00DF541B">
      <w:pPr>
        <w:jc w:val="both"/>
      </w:pPr>
      <w:r>
        <w:t>The text reads: “</w:t>
      </w:r>
      <w:r w:rsidR="00DF541B">
        <w:t>… none of the underlying observables have been shown to meet the dual criteria of (</w:t>
      </w:r>
      <w:proofErr w:type="spellStart"/>
      <w:r w:rsidR="00DF541B">
        <w:t>i</w:t>
      </w:r>
      <w:proofErr w:type="spellEnd"/>
      <w:r w:rsidR="00DF541B">
        <w:t>) resulting in statistically consistent discrimination measures and thus (ii) being representative of the complex POLSAR data</w:t>
      </w:r>
      <w:r>
        <w:t xml:space="preserve">”. This is shown in the </w:t>
      </w:r>
      <w:r w:rsidR="00D91BEB">
        <w:t xml:space="preserve">very </w:t>
      </w:r>
      <w:r w:rsidR="00013A3E">
        <w:t xml:space="preserve">next section. </w:t>
      </w:r>
    </w:p>
    <w:p w:rsidR="00572D68" w:rsidRDefault="00013A3E" w:rsidP="00DF541B">
      <w:pPr>
        <w:jc w:val="both"/>
      </w:pPr>
      <w:r>
        <w:t xml:space="preserve">The next section </w:t>
      </w:r>
      <w:r w:rsidR="00DA7CE8">
        <w:t>reviews all, to the best of our knowledge, widely used discrimination measures for POLSAR.</w:t>
      </w:r>
      <w:r>
        <w:t xml:space="preserve"> Evidently none of the commonly used discrimination measures are based on the reviewed observables. Most of them actually are based on the determinant of the covariance matrix, </w:t>
      </w:r>
      <w:r w:rsidR="009A6F84">
        <w:t xml:space="preserve">whose model </w:t>
      </w:r>
      <w:r>
        <w:t xml:space="preserve">is </w:t>
      </w:r>
      <w:r w:rsidR="009A6F84">
        <w:t xml:space="preserve">among those </w:t>
      </w:r>
      <w:r>
        <w:t>proposed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0E4F6E" w:rsidRDefault="00BC6FD0" w:rsidP="00DF541B">
      <w:pPr>
        <w:jc w:val="both"/>
      </w:pPr>
      <w:r>
        <w:lastRenderedPageBreak/>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p>
    <w:p w:rsidR="00341D3C" w:rsidRDefault="000E4F6E" w:rsidP="00DF541B">
      <w:pPr>
        <w:jc w:val="both"/>
      </w:pPr>
      <w:r>
        <w:t>Second, w</w:t>
      </w:r>
      <w:r w:rsidR="00C16893">
        <w:t xml:space="preserve">hile we believe that better separation can be achieved with the proposed model, we feel that it is a relative different topic. Due to space constraints, one paper should focus on a single topic we </w:t>
      </w:r>
      <w:r w:rsidR="00F855EC">
        <w:t>felt</w:t>
      </w:r>
      <w:r w:rsidR="00C16893">
        <w:t>. Evidently, this theoretical results need to be established first, before follow on techniques can be proposed.</w:t>
      </w:r>
      <w:r w:rsidR="00740455">
        <w:t xml:space="preserve"> </w:t>
      </w:r>
    </w:p>
    <w:p w:rsidR="00BC6FD0" w:rsidRDefault="00341D3C" w:rsidP="00DF541B">
      <w:pPr>
        <w:jc w:val="both"/>
      </w:pPr>
      <w:r>
        <w:t>Third, i</w:t>
      </w:r>
      <w:r w:rsidR="00740455">
        <w:t xml:space="preserve">t should also be noted that the paper does include a section discussing the application </w:t>
      </w:r>
      <w:r>
        <w:t xml:space="preserve">and the advantages </w:t>
      </w:r>
      <w:r w:rsidR="00740455">
        <w:t>of the proposed models.</w:t>
      </w:r>
      <w:r>
        <w:t xml:space="preserve"> One advantage, in terms of easier classifying POLSAR data, is, for example, the use of the change ratio, which evidently </w:t>
      </w:r>
      <w:r w:rsidR="00485A17">
        <w:t xml:space="preserve">is </w:t>
      </w:r>
      <w:r>
        <w:t xml:space="preserve">much cheaper in computation than existing measures, such as the Bhattacharyya ratio. </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 xml:space="preserve">P3/Col1/L25: Incorrect nomenclature. Single pol transmit, dual-pol receive is “compact </w:t>
      </w:r>
      <w:proofErr w:type="spellStart"/>
      <w:r w:rsidRPr="00595CB5">
        <w:rPr>
          <w:b/>
        </w:rPr>
        <w:t>polarimetry</w:t>
      </w:r>
      <w:proofErr w:type="spellEnd"/>
      <w:r w:rsidRPr="00595CB5">
        <w:rPr>
          <w:b/>
        </w:rPr>
        <w:t>”. Partially polarized signals contain both polarized and unpolarised power.</w:t>
      </w:r>
    </w:p>
    <w:p w:rsidR="00595CB5" w:rsidRDefault="00595CB5" w:rsidP="00DF541B">
      <w:pPr>
        <w:jc w:val="both"/>
      </w:pPr>
      <w:r>
        <w:t>Answer:</w:t>
      </w:r>
    </w:p>
    <w:p w:rsidR="00595CB5" w:rsidRDefault="00595CB5" w:rsidP="00DF541B">
      <w:pPr>
        <w:jc w:val="both"/>
      </w:pPr>
      <w:r>
        <w:t xml:space="preserve">The term we used is “partial </w:t>
      </w:r>
      <w:proofErr w:type="spellStart"/>
      <w:r>
        <w:t>polarimetry</w:t>
      </w:r>
      <w:proofErr w:type="spellEnd"/>
      <w:r>
        <w:t xml:space="preserve">” and is totally different from “partially polarized signals”. We are aware of the term “compact </w:t>
      </w:r>
      <w:proofErr w:type="spellStart"/>
      <w:r>
        <w:t>polarimet</w:t>
      </w:r>
      <w:r w:rsidR="001127B3">
        <w:t>ry</w:t>
      </w:r>
      <w:proofErr w:type="spellEnd"/>
      <w:r w:rsidR="001127B3">
        <w:t xml:space="preserve">” which </w:t>
      </w:r>
      <w:proofErr w:type="gramStart"/>
      <w:r w:rsidR="001127B3">
        <w:t>were</w:t>
      </w:r>
      <w:proofErr w:type="gramEnd"/>
      <w:r w:rsidR="001127B3">
        <w:t xml:space="preserve"> used by </w:t>
      </w:r>
      <w:proofErr w:type="spellStart"/>
      <w:r w:rsidR="001127B3">
        <w:t>Souyris</w:t>
      </w:r>
      <w:proofErr w:type="spellEnd"/>
      <w:r w:rsidR="001127B3">
        <w:t xml:space="preserve"> [</w:t>
      </w:r>
      <w:r w:rsidR="001127B3" w:rsidRPr="00760970">
        <w:t>Souyris</w:t>
      </w:r>
      <w:r w:rsidR="001127B3">
        <w:t>_2005_TGRS]</w:t>
      </w:r>
      <w:r>
        <w:t xml:space="preserve">. In the cited paper, the proposed mode is 45 </w:t>
      </w:r>
      <w:r w:rsidR="00C22CA8">
        <w:t xml:space="preserve">degree </w:t>
      </w:r>
      <w:r>
        <w:t xml:space="preserve">in Transmit. That fact is important because there is also another proposal by </w:t>
      </w:r>
      <w:proofErr w:type="gramStart"/>
      <w:r>
        <w:t>Raney,</w:t>
      </w:r>
      <w:proofErr w:type="gramEnd"/>
      <w:r>
        <w:t xml:space="preserve"> termed “hybrid </w:t>
      </w:r>
      <w:proofErr w:type="spellStart"/>
      <w:r>
        <w:t>polarimetry</w:t>
      </w:r>
      <w:proofErr w:type="spellEnd"/>
      <w:r>
        <w:t>”, where circular</w:t>
      </w:r>
      <w:r w:rsidR="00FA4540">
        <w:t>ly</w:t>
      </w:r>
      <w:r>
        <w:t xml:space="preserve"> polarized </w:t>
      </w:r>
      <w:r w:rsidR="00FA4540">
        <w:t xml:space="preserve">signals are transmitted. </w:t>
      </w:r>
      <w:r w:rsidR="008E7573">
        <w:t xml:space="preserve">By “partial </w:t>
      </w:r>
      <w:proofErr w:type="spellStart"/>
      <w:r w:rsidR="008E7573">
        <w:t>polarimetry</w:t>
      </w:r>
      <w:proofErr w:type="spellEnd"/>
      <w:r w:rsidR="008E7573">
        <w:t xml:space="preserve">”, we </w:t>
      </w:r>
      <w:r w:rsidR="00ED41A0">
        <w:t xml:space="preserve">try </w:t>
      </w:r>
      <w:r w:rsidR="008E7573">
        <w:t xml:space="preserve">to indicate that our model works not only on “full </w:t>
      </w:r>
      <w:proofErr w:type="spellStart"/>
      <w:r w:rsidR="008E7573">
        <w:t>polarimetric</w:t>
      </w:r>
      <w:proofErr w:type="spellEnd"/>
      <w:r w:rsidR="008E7573">
        <w:t xml:space="preserve">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w:t>
      </w:r>
      <w:proofErr w:type="spellStart"/>
      <w:r w:rsidRPr="00B1128B">
        <w:rPr>
          <w:b/>
        </w:rPr>
        <w:t>Eqns</w:t>
      </w:r>
      <w:proofErr w:type="spellEnd"/>
      <w:r w:rsidRPr="00B1128B">
        <w:rPr>
          <w:b/>
        </w:rPr>
        <w:t xml:space="preserve">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t>
      </w:r>
      <w:r w:rsidR="00B063EA">
        <w:rPr>
          <w:rFonts w:eastAsiaTheme="minorEastAsia"/>
        </w:rPr>
        <w:t xml:space="preserve">The exponent notation </w:t>
      </w:r>
      <w:r w:rsidR="00E31062">
        <w:rPr>
          <w:rFonts w:eastAsiaTheme="minorEastAsia"/>
        </w:rPr>
        <w:t xml:space="preserve">was </w:t>
      </w:r>
      <w:r w:rsidR="00B063EA">
        <w:rPr>
          <w:rFonts w:eastAsiaTheme="minorEastAsia"/>
        </w:rPr>
        <w:t>used in this paper to denote the dimensionality number (d).</w:t>
      </w:r>
      <w:r w:rsidR="00E31062">
        <w:rPr>
          <w:rFonts w:eastAsiaTheme="minorEastAsia"/>
        </w:rPr>
        <w:t xml:space="preserve">  In the revised paper, the </w:t>
      </w:r>
      <w:r w:rsidR="004943AC">
        <w:rPr>
          <w:rFonts w:eastAsiaTheme="minorEastAsia"/>
        </w:rPr>
        <w:t>squared-</w:t>
      </w:r>
      <w:r w:rsidR="00E31062">
        <w:rPr>
          <w:rFonts w:eastAsiaTheme="minorEastAsia"/>
        </w:rPr>
        <w:t xml:space="preserve">exponent notation is re-used for the </w:t>
      </w:r>
      <w:r w:rsidR="003E39A2">
        <w:rPr>
          <w:rFonts w:eastAsiaTheme="minorEastAsia"/>
        </w:rPr>
        <w:t xml:space="preserve">chi-squared </w:t>
      </w:r>
      <w:r w:rsidR="00E31062">
        <w:rPr>
          <w:rFonts w:eastAsiaTheme="minorEastAsia"/>
        </w:rPr>
        <w:t>distribution.</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P3/Col2/L43-48: This paragraph is a circular argument. SAR speckle nois</w:t>
      </w:r>
      <w:r w:rsidR="00D513E3">
        <w:rPr>
          <w:b/>
        </w:rPr>
        <w:t>e is multiplicative. You use Goo</w:t>
      </w:r>
      <w:r w:rsidRPr="0043777E">
        <w:rPr>
          <w:b/>
        </w:rPr>
        <w:t xml:space="preserve">dman’s result to capture this, and </w:t>
      </w:r>
      <w:proofErr w:type="spellStart"/>
      <w:r w:rsidRPr="0043777E">
        <w:rPr>
          <w:b/>
        </w:rPr>
        <w:t>Eqn</w:t>
      </w:r>
      <w:proofErr w:type="spellEnd"/>
      <w:r w:rsidRPr="0043777E">
        <w:rPr>
          <w:b/>
        </w:rPr>
        <w:t xml:space="preserve"> 19 … also does. It is not an implication. Note the </w:t>
      </w:r>
      <w:proofErr w:type="spellStart"/>
      <w:r w:rsidRPr="0043777E">
        <w:rPr>
          <w:b/>
        </w:rPr>
        <w:t>Eqns</w:t>
      </w:r>
      <w:proofErr w:type="spellEnd"/>
      <w:r w:rsidRPr="0043777E">
        <w:rPr>
          <w:b/>
        </w:rPr>
        <w:t xml:space="preserve"> 18 and 19 break down for L&lt;d, i.e. for single look imagery.</w:t>
      </w:r>
    </w:p>
    <w:p w:rsidR="0043777E" w:rsidRDefault="0043777E" w:rsidP="00DF541B">
      <w:pPr>
        <w:jc w:val="both"/>
      </w:pPr>
      <w:r>
        <w:t>Answer:</w:t>
      </w:r>
    </w:p>
    <w:p w:rsidR="0043777E" w:rsidRDefault="002A0100" w:rsidP="00DF541B">
      <w:pPr>
        <w:jc w:val="both"/>
      </w:pPr>
      <w:r>
        <w:lastRenderedPageBreak/>
        <w:t xml:space="preserve">To clarify, our intention is to </w:t>
      </w:r>
      <w:r w:rsidR="000901D6">
        <w:t xml:space="preserve">show that the determinant of POLSAR covariance matrix is not only multiplicative but also </w:t>
      </w:r>
      <w:proofErr w:type="spellStart"/>
      <w:r w:rsidR="000901D6">
        <w:t>heteroskedastic</w:t>
      </w:r>
      <w:proofErr w:type="spellEnd"/>
      <w:r w:rsidR="000901D6">
        <w:t xml:space="preserve">. Subsequently we show that </w:t>
      </w:r>
      <w:r w:rsidR="00811C9E">
        <w:t xml:space="preserve">these properties are also </w:t>
      </w:r>
      <w:r w:rsidR="000901D6">
        <w:t>similar to SAR intensity.</w:t>
      </w:r>
      <w:r w:rsidR="00AD47A3">
        <w:t xml:space="preserve"> </w:t>
      </w:r>
      <w:r w:rsidR="004A474F">
        <w:t xml:space="preserve">It is apparent that the idea </w:t>
      </w:r>
      <w:r w:rsidR="00D513E3">
        <w:t xml:space="preserve">has not been conveyed to the reviewer. As such, </w:t>
      </w:r>
      <w:r w:rsidR="0016094D">
        <w:t>in the revised paper</w:t>
      </w:r>
      <w:r w:rsidR="0016094D">
        <w:t xml:space="preserve">, </w:t>
      </w:r>
      <w:r w:rsidR="00D513E3">
        <w:t>the text is heavily updated</w:t>
      </w:r>
      <w:r w:rsidR="0016094D">
        <w:t xml:space="preserve"> to emphasize the point</w:t>
      </w:r>
      <w:r w:rsidR="00D513E3">
        <w:t>.</w:t>
      </w:r>
    </w:p>
    <w:p w:rsidR="00FA4540" w:rsidRDefault="002802B6" w:rsidP="00DF541B">
      <w:pPr>
        <w:jc w:val="both"/>
      </w:pPr>
      <w:r>
        <w:t xml:space="preserve">Concerning </w:t>
      </w:r>
      <w:proofErr w:type="spellStart"/>
      <w:r>
        <w:t>Eqns</w:t>
      </w:r>
      <w:proofErr w:type="spellEnd"/>
      <w:r>
        <w:t xml:space="preserve"> 18, 19, it is true that they are broken when L&lt;d. It should be noted that L stands for Number-of-Looks and d is the dimension number. </w:t>
      </w:r>
      <w:r w:rsidR="005D4711">
        <w:t xml:space="preserve">Thus when L&lt;d, the determinant is also ill-defined, as is the Complex </w:t>
      </w:r>
      <w:proofErr w:type="spellStart"/>
      <w:r w:rsidR="005D4711">
        <w:t>Wishart</w:t>
      </w:r>
      <w:proofErr w:type="spellEnd"/>
      <w:r w:rsidR="005D4711">
        <w:t xml:space="preserve">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w:t>
      </w:r>
      <w:proofErr w:type="spellStart"/>
      <w:r w:rsidRPr="004172A4">
        <w:rPr>
          <w:b/>
        </w:rPr>
        <w:t>Eqn</w:t>
      </w:r>
      <w:proofErr w:type="spellEnd"/>
      <w:r w:rsidRPr="004172A4">
        <w:rPr>
          <w:b/>
        </w:rPr>
        <w:t xml:space="preserve">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t>The underlying covariance matrix may not be known with absolute accuracy. It however, may be considered as known to some degree</w:t>
      </w:r>
      <w:r w:rsidR="00150201">
        <w:t xml:space="preserve"> of confidence</w:t>
      </w:r>
      <w:r>
        <w:t xml:space="preserve">. In that sense </w:t>
      </w:r>
      <w:proofErr w:type="spellStart"/>
      <w:r>
        <w:t>Eqn</w:t>
      </w:r>
      <w:proofErr w:type="spellEnd"/>
      <w:r>
        <w:t xml:space="preserve"> 20 may be useful. </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P4/Col1/</w:t>
      </w:r>
      <w:proofErr w:type="spellStart"/>
      <w:r w:rsidRPr="008A0F93">
        <w:rPr>
          <w:b/>
        </w:rPr>
        <w:t>Eqn</w:t>
      </w:r>
      <w:proofErr w:type="spellEnd"/>
      <w:r w:rsidRPr="008A0F93">
        <w:rPr>
          <w:b/>
        </w:rPr>
        <w:t xml:space="preserve">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303B20" w:rsidP="00DF541B">
      <w:pPr>
        <w:jc w:val="both"/>
      </w:pPr>
      <w:r>
        <w:t xml:space="preserve">We feel that to say something formally correct but is useless in practice is a bit too harsh. </w:t>
      </w:r>
      <w:r w:rsidR="00FC7494">
        <w:t xml:space="preserve">The paper </w:t>
      </w:r>
      <w:r w:rsidR="009B0EF4">
        <w:t>show</w:t>
      </w:r>
      <w:r w:rsidR="00FC7494">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t xml:space="preserve">One application, </w:t>
      </w:r>
      <w:r w:rsidR="00BB6EDE">
        <w:t xml:space="preserve">for example, is given two observable covariance </w:t>
      </w:r>
      <w:r w:rsidR="001A6C3A">
        <w:t>matrixes;</w:t>
      </w:r>
      <w:r w:rsidR="00BB6EDE">
        <w:t xml:space="preserve"> Eqn. 21 can be used to test the null hypothesis of same underlying covariance. With some minor calibration, this technique can be applied in, for example, change detection applications.</w:t>
      </w:r>
      <w:r w:rsidR="001A6C3A">
        <w:t xml:space="preserve"> In essence, that means the comment of: “for Eqn. 21 to work, regions must be known to be homogeneous” are not strictly true in all possible cases.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w:t>
      </w:r>
      <w:proofErr w:type="spellStart"/>
      <w:r w:rsidRPr="00767935">
        <w:rPr>
          <w:b/>
        </w:rPr>
        <w:t>Eqn</w:t>
      </w:r>
      <w:proofErr w:type="spellEnd"/>
      <w:r w:rsidRPr="00767935">
        <w:rPr>
          <w:b/>
        </w:rPr>
        <w:t xml:space="preserve"> 23: is wrong. With numerator and denominator the same, it has fixed values of </w:t>
      </w:r>
      <w:proofErr w:type="spellStart"/>
      <w:r w:rsidRPr="00767935">
        <w:rPr>
          <w:b/>
        </w:rPr>
        <w:t>Rc</w:t>
      </w:r>
      <w:proofErr w:type="spellEnd"/>
      <w:r w:rsidRPr="00767935">
        <w:rPr>
          <w:b/>
        </w:rPr>
        <w:t>=1</w:t>
      </w:r>
      <w:proofErr w:type="gramStart"/>
      <w:r w:rsidRPr="00767935">
        <w:rPr>
          <w:b/>
        </w:rPr>
        <w:t>,2,6</w:t>
      </w:r>
      <w:proofErr w:type="gramEnd"/>
      <w:r w:rsidRPr="00767935">
        <w:rPr>
          <w:b/>
        </w:rPr>
        <w:t xml:space="preserve"> for d=1,2,3</w:t>
      </w:r>
    </w:p>
    <w:p w:rsidR="00767935" w:rsidRDefault="00767935" w:rsidP="002F19C0">
      <w:pPr>
        <w:jc w:val="both"/>
      </w:pPr>
      <w:r>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This is similar to the subtraction of two independent random variables having the same</w:t>
      </w:r>
      <w:r w:rsidR="00BE3069">
        <w:t>, say,</w:t>
      </w:r>
      <w:r w:rsidR="0036087A">
        <w:t xml:space="preserve"> Gaussian distribution</w:t>
      </w:r>
      <w:r w:rsidR="00312EDA">
        <w:t>. The latter case does not lead</w:t>
      </w:r>
      <w:r w:rsidR="0036087A">
        <w:t xml:space="preserve"> to a </w:t>
      </w:r>
      <w:r w:rsidR="0036087A">
        <w:lastRenderedPageBreak/>
        <w:t>fixed value of zero, but a fixed distribution with expected value of zero. What the reviewer probably should have meant is: w</w:t>
      </w:r>
      <w:r>
        <w:t>hen d=1</w:t>
      </w:r>
      <w:proofErr w:type="gramStart"/>
      <w:r>
        <w:t>,2,3</w:t>
      </w:r>
      <w:proofErr w:type="gramEnd"/>
      <w:r>
        <w:t xml:space="preserve">, </w:t>
      </w:r>
      <w:proofErr w:type="spellStart"/>
      <w:r>
        <w:t>Rc</w:t>
      </w:r>
      <w:proofErr w:type="spellEnd"/>
      <w:r>
        <w:t xml:space="preserve"> follows fixed distribution with expected values 1,2,6 respectively.</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We do not wish to say that 3D SAR can be physically collapsed into 1D SAR</w:t>
      </w:r>
      <w:r w:rsidR="00FF04B4">
        <w:t xml:space="preserve"> and we do not believe that is what the text reads</w:t>
      </w:r>
      <w:r>
        <w:t xml:space="preserve">. </w:t>
      </w:r>
      <w:r w:rsidR="00FF04B4">
        <w:t xml:space="preserve">Instead, what </w:t>
      </w:r>
      <w:r>
        <w:t xml:space="preserve">the paper </w:t>
      </w:r>
      <w:r w:rsidR="00CD48EB">
        <w:t xml:space="preserve">meant </w:t>
      </w:r>
      <w:r>
        <w:t xml:space="preserve">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 xml:space="preserve">the multidimensional models proposed in this paper </w:t>
      </w:r>
      <w:r w:rsidR="00A03185">
        <w:t>are</w:t>
      </w:r>
      <w:r w:rsidR="00203255">
        <w:t xml:space="preserve">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 xml:space="preserve">P4/Col1/last </w:t>
      </w:r>
      <w:proofErr w:type="spellStart"/>
      <w:r w:rsidRPr="004F312D">
        <w:rPr>
          <w:b/>
        </w:rPr>
        <w:t>Eqn</w:t>
      </w:r>
      <w:proofErr w:type="spellEnd"/>
      <w:r w:rsidRPr="004F312D">
        <w:rPr>
          <w:b/>
        </w:rPr>
        <w:t>: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 xml:space="preserve">P4/Col2/top </w:t>
      </w:r>
      <w:proofErr w:type="spellStart"/>
      <w:r w:rsidRPr="00462FF8">
        <w:rPr>
          <w:b/>
        </w:rPr>
        <w:t>Eqn</w:t>
      </w:r>
      <w:proofErr w:type="spellEnd"/>
      <w:r w:rsidRPr="00462FF8">
        <w:rPr>
          <w:b/>
        </w:rPr>
        <w:t>: Without clarification, I cannot figure out how the succeeding results are calculated.</w:t>
      </w:r>
    </w:p>
    <w:p w:rsidR="00066179" w:rsidRDefault="00066179" w:rsidP="002F19C0">
      <w:pPr>
        <w:jc w:val="both"/>
      </w:pPr>
      <w:r>
        <w:t>Answer:</w:t>
      </w:r>
    </w:p>
    <w:p w:rsidR="00066179" w:rsidRDefault="00066179" w:rsidP="002F19C0">
      <w:pPr>
        <w:jc w:val="both"/>
      </w:pPr>
      <w:r>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 xml:space="preserve">Updated in the revised paper: A Radarsat2 image of </w:t>
      </w:r>
      <w:proofErr w:type="spellStart"/>
      <w:r>
        <w:t>Murda</w:t>
      </w:r>
      <w:proofErr w:type="spellEnd"/>
      <w:r>
        <w:t xml:space="preserve"> </w:t>
      </w:r>
      <w:proofErr w:type="spellStart"/>
      <w:r>
        <w:t>Merbok</w:t>
      </w:r>
      <w:proofErr w:type="spellEnd"/>
      <w:r>
        <w:t xml:space="preserve">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Anfinsen’s ENL is, in general, non-integer. How did you deal with that? Why did you not use the formal L values from the imagery (1</w:t>
      </w:r>
      <w:proofErr w:type="gramStart"/>
      <w:r w:rsidRPr="00930F92">
        <w:rPr>
          <w:b/>
        </w:rPr>
        <w:t>,4</w:t>
      </w:r>
      <w:proofErr w:type="gramEnd"/>
      <w:r w:rsidRPr="00930F92">
        <w:rPr>
          <w:b/>
        </w:rPr>
        <w:t xml:space="preserve"> or 9). </w:t>
      </w:r>
    </w:p>
    <w:p w:rsidR="00DC0736" w:rsidRDefault="00DC0736" w:rsidP="002F19C0">
      <w:pPr>
        <w:jc w:val="both"/>
      </w:pPr>
      <w:r>
        <w:lastRenderedPageBreak/>
        <w:t>Answer:</w:t>
      </w:r>
    </w:p>
    <w:p w:rsidR="00DC0736" w:rsidRDefault="00B85393" w:rsidP="002F19C0">
      <w:pPr>
        <w:jc w:val="both"/>
      </w:pPr>
      <w:r>
        <w:t>The computed ENL did result</w:t>
      </w:r>
      <w:r w:rsidR="00930F92">
        <w:t xml:space="preserve"> in non-integer. There is no problem with that as </w:t>
      </w:r>
      <w:proofErr w:type="spellStart"/>
      <w:r w:rsidR="00613FC9">
        <w:t>Matlab</w:t>
      </w:r>
      <w:proofErr w:type="spellEnd"/>
      <w:r w:rsidR="00613FC9">
        <w:t xml:space="preserve"> can simulate Chi-Squared distribution with non-integer </w:t>
      </w:r>
      <w:r w:rsidR="00D867EE">
        <w:t xml:space="preserve">degrees of freedom. </w:t>
      </w:r>
      <w:r w:rsidR="008A3EAC">
        <w:t xml:space="preserve">Thus the model plot can be plotted using </w:t>
      </w:r>
      <w:proofErr w:type="spellStart"/>
      <w:r w:rsidR="008A3EAC">
        <w:t>Matlab</w:t>
      </w:r>
      <w:proofErr w:type="spellEnd"/>
      <w:r w:rsidR="008A3EAC">
        <w:t xml:space="preserve"> simulations. </w:t>
      </w:r>
      <w:r>
        <w:t xml:space="preserve">The paper shows that the </w:t>
      </w:r>
      <w:proofErr w:type="spellStart"/>
      <w:r w:rsidR="008127A6">
        <w:t>Matlab</w:t>
      </w:r>
      <w:proofErr w:type="spellEnd"/>
      <w:r w:rsidR="008127A6">
        <w:t xml:space="preserve"> </w:t>
      </w:r>
      <w:r>
        <w:t xml:space="preserve">simulation matches </w:t>
      </w:r>
      <w:r w:rsidR="008127A6">
        <w:t xml:space="preserve">nicely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0F572A" w:rsidP="002F19C0">
      <w:pPr>
        <w:jc w:val="both"/>
      </w:pPr>
      <w:r>
        <w:t>There are a few points t</w:t>
      </w:r>
      <w:r w:rsidR="00497E6B">
        <w:t xml:space="preserve">o clarify, </w:t>
      </w:r>
      <w:r>
        <w:t>we believe. F</w:t>
      </w:r>
      <w:r w:rsidR="00497E6B">
        <w:t>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w:t>
      </w:r>
      <w:proofErr w:type="spellStart"/>
      <w:r w:rsidR="000E7FD2" w:rsidRPr="000E7FD2">
        <w:t>Fabregas</w:t>
      </w:r>
      <w:proofErr w:type="spellEnd"/>
      <w:r w:rsidR="000E7FD2" w:rsidRPr="000E7FD2">
        <w:t xml:space="preserve">. </w:t>
      </w:r>
      <w:proofErr w:type="spellStart"/>
      <w:proofErr w:type="gramStart"/>
      <w:r w:rsidR="000E7FD2" w:rsidRPr="000E7FD2">
        <w:rPr>
          <w:b/>
        </w:rPr>
        <w:t>Polarimetric</w:t>
      </w:r>
      <w:proofErr w:type="spellEnd"/>
      <w:r w:rsidR="000E7FD2" w:rsidRPr="000E7FD2">
        <w:rPr>
          <w:b/>
        </w:rPr>
        <w:t xml:space="preserve"> SAR speckle noise model</w:t>
      </w:r>
      <w:r w:rsidR="000E7FD2" w:rsidRPr="000E7FD2">
        <w:t>.</w:t>
      </w:r>
      <w:proofErr w:type="gramEnd"/>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w:t>
      </w:r>
      <w:proofErr w:type="spellStart"/>
      <w:r w:rsidRPr="008D788C">
        <w:t>Hoppel</w:t>
      </w:r>
      <w:proofErr w:type="spellEnd"/>
      <w:r w:rsidRPr="008D788C">
        <w:t xml:space="preserve">, S.A. </w:t>
      </w:r>
      <w:proofErr w:type="gramStart"/>
      <w:r w:rsidRPr="008D788C">
        <w:t>Mango,</w:t>
      </w:r>
      <w:proofErr w:type="gramEnd"/>
      <w:r w:rsidRPr="008D788C">
        <w:t xml:space="preserve"> and A.R. Miller. </w:t>
      </w:r>
      <w:r w:rsidRPr="008D788C">
        <w:rPr>
          <w:b/>
        </w:rPr>
        <w:t xml:space="preserve">Intensity and phase statistics of </w:t>
      </w:r>
      <w:proofErr w:type="spellStart"/>
      <w:r w:rsidRPr="008D788C">
        <w:rPr>
          <w:b/>
        </w:rPr>
        <w:t>multilook</w:t>
      </w:r>
      <w:proofErr w:type="spellEnd"/>
      <w:r w:rsidRPr="008D788C">
        <w:rPr>
          <w:b/>
        </w:rPr>
        <w:t xml:space="preserve"> </w:t>
      </w:r>
      <w:proofErr w:type="spellStart"/>
      <w:r w:rsidRPr="008D788C">
        <w:rPr>
          <w:b/>
        </w:rPr>
        <w:t>polarimetric</w:t>
      </w:r>
      <w:proofErr w:type="spellEnd"/>
      <w:r w:rsidRPr="008D788C">
        <w:rPr>
          <w:b/>
        </w:rPr>
        <w:t xml:space="preserve"> and </w:t>
      </w:r>
      <w:proofErr w:type="spellStart"/>
      <w:r w:rsidRPr="008D788C">
        <w:rPr>
          <w:b/>
        </w:rPr>
        <w:t>interferometric</w:t>
      </w:r>
      <w:proofErr w:type="spellEnd"/>
      <w:r w:rsidRPr="008D788C">
        <w:rPr>
          <w:b/>
        </w:rPr>
        <w:t xml:space="preserve">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lastRenderedPageBreak/>
        <w:t>[</w:t>
      </w:r>
      <w:r w:rsidRPr="00760970">
        <w:t>Souyris</w:t>
      </w:r>
      <w:r>
        <w:t xml:space="preserve">_2005_TGRS] </w:t>
      </w:r>
      <w:proofErr w:type="gramStart"/>
      <w:r w:rsidRPr="00760970">
        <w:t xml:space="preserve">J.C. </w:t>
      </w:r>
      <w:proofErr w:type="spellStart"/>
      <w:r w:rsidRPr="00760970">
        <w:t>Souyris</w:t>
      </w:r>
      <w:proofErr w:type="spellEnd"/>
      <w:r w:rsidRPr="00760970">
        <w:t xml:space="preserve">, P. </w:t>
      </w:r>
      <w:proofErr w:type="spellStart"/>
      <w:r w:rsidRPr="00760970">
        <w:t>Imbo</w:t>
      </w:r>
      <w:proofErr w:type="spellEnd"/>
      <w:r w:rsidRPr="00760970">
        <w:t xml:space="preserve">, R. </w:t>
      </w:r>
      <w:proofErr w:type="spellStart"/>
      <w:r w:rsidRPr="00760970">
        <w:t>Fj</w:t>
      </w:r>
      <w:bookmarkStart w:id="0" w:name="_GoBack"/>
      <w:bookmarkEnd w:id="0"/>
      <w:r w:rsidRPr="00760970">
        <w:t>ortoft</w:t>
      </w:r>
      <w:proofErr w:type="spellEnd"/>
      <w:r w:rsidRPr="00760970">
        <w:t xml:space="preserve">, Sandra </w:t>
      </w:r>
      <w:proofErr w:type="spellStart"/>
      <w:r w:rsidRPr="00760970">
        <w:t>Mingot</w:t>
      </w:r>
      <w:proofErr w:type="spellEnd"/>
      <w:r w:rsidRPr="00760970">
        <w:t>, and Jong-Sen Lee.</w:t>
      </w:r>
      <w:proofErr w:type="gramEnd"/>
      <w:r w:rsidRPr="00760970">
        <w:t xml:space="preserve"> </w:t>
      </w:r>
      <w:r w:rsidRPr="00760970">
        <w:rPr>
          <w:b/>
        </w:rPr>
        <w:t xml:space="preserve">Compact </w:t>
      </w:r>
      <w:proofErr w:type="spellStart"/>
      <w:r w:rsidRPr="00760970">
        <w:rPr>
          <w:b/>
        </w:rPr>
        <w:t>polarimetry</w:t>
      </w:r>
      <w:proofErr w:type="spellEnd"/>
      <w:r w:rsidRPr="00760970">
        <w:rPr>
          <w:b/>
        </w:rPr>
        <w:t xml:space="preserve">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_2006_TGRS]</w:t>
      </w:r>
      <w:r w:rsidRPr="009E6309">
        <w:t xml:space="preserve"> R. Raney. </w:t>
      </w:r>
      <w:proofErr w:type="gramStart"/>
      <w:r w:rsidRPr="009E6309">
        <w:rPr>
          <w:b/>
        </w:rPr>
        <w:t>Hybrid-Polarity SAR Architecture</w:t>
      </w:r>
      <w:r w:rsidRPr="009E6309">
        <w:t>.</w:t>
      </w:r>
      <w:proofErr w:type="gramEnd"/>
      <w:r w:rsidRPr="009E6309">
        <w:t xml:space="preserve"> </w:t>
      </w:r>
      <w:proofErr w:type="gramStart"/>
      <w:r w:rsidRPr="009E6309">
        <w:t xml:space="preserve">In </w:t>
      </w:r>
      <w:r w:rsidRPr="009E6309">
        <w:rPr>
          <w:i/>
        </w:rPr>
        <w:t>Geoscience and Remote Sensing Symposium, 2006.</w:t>
      </w:r>
      <w:proofErr w:type="gramEnd"/>
      <w:r w:rsidRPr="009E6309">
        <w:rPr>
          <w:i/>
        </w:rPr>
        <w:t xml:space="preserve"> </w:t>
      </w:r>
      <w:proofErr w:type="gramStart"/>
      <w:r w:rsidRPr="009E6309">
        <w:rPr>
          <w:i/>
        </w:rPr>
        <w:t>IGARSS 2006.</w:t>
      </w:r>
      <w:proofErr w:type="gramEnd"/>
      <w:r w:rsidRPr="009E6309">
        <w:rPr>
          <w:i/>
        </w:rPr>
        <w:t xml:space="preserve"> </w:t>
      </w:r>
      <w:proofErr w:type="gramStart"/>
      <w:r w:rsidRPr="009E6309">
        <w:rPr>
          <w:i/>
        </w:rPr>
        <w:t>IEEE International Conference on</w:t>
      </w:r>
      <w:r w:rsidRPr="009E6309">
        <w:t>, pages 3846 –3848, July 2006.</w:t>
      </w:r>
      <w:proofErr w:type="gramEnd"/>
    </w:p>
    <w:sectPr w:rsidR="009E6309"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51"/>
    <w:rsid w:val="00013A3E"/>
    <w:rsid w:val="00013C7A"/>
    <w:rsid w:val="00027859"/>
    <w:rsid w:val="00027B2B"/>
    <w:rsid w:val="00052F2F"/>
    <w:rsid w:val="000561A6"/>
    <w:rsid w:val="00056BE5"/>
    <w:rsid w:val="0006018C"/>
    <w:rsid w:val="00066179"/>
    <w:rsid w:val="00075FA9"/>
    <w:rsid w:val="0008500E"/>
    <w:rsid w:val="000901D6"/>
    <w:rsid w:val="000A3F48"/>
    <w:rsid w:val="000B2C5E"/>
    <w:rsid w:val="000B7903"/>
    <w:rsid w:val="000B7B75"/>
    <w:rsid w:val="000C00FD"/>
    <w:rsid w:val="000D0443"/>
    <w:rsid w:val="000D290F"/>
    <w:rsid w:val="000E3B28"/>
    <w:rsid w:val="000E4F6E"/>
    <w:rsid w:val="000E7FD2"/>
    <w:rsid w:val="000F572A"/>
    <w:rsid w:val="001127B3"/>
    <w:rsid w:val="001142F3"/>
    <w:rsid w:val="0013411B"/>
    <w:rsid w:val="00137B47"/>
    <w:rsid w:val="00143866"/>
    <w:rsid w:val="00150201"/>
    <w:rsid w:val="00154F29"/>
    <w:rsid w:val="00157533"/>
    <w:rsid w:val="0016094D"/>
    <w:rsid w:val="00163C7D"/>
    <w:rsid w:val="00171933"/>
    <w:rsid w:val="00180813"/>
    <w:rsid w:val="00192BFC"/>
    <w:rsid w:val="00196774"/>
    <w:rsid w:val="001A1017"/>
    <w:rsid w:val="001A2B5B"/>
    <w:rsid w:val="001A5DB5"/>
    <w:rsid w:val="001A6C3A"/>
    <w:rsid w:val="001B3CE6"/>
    <w:rsid w:val="001C53CA"/>
    <w:rsid w:val="001D7AEC"/>
    <w:rsid w:val="00203255"/>
    <w:rsid w:val="002038AD"/>
    <w:rsid w:val="002422D7"/>
    <w:rsid w:val="00265CA0"/>
    <w:rsid w:val="002802B6"/>
    <w:rsid w:val="002926A1"/>
    <w:rsid w:val="002963E8"/>
    <w:rsid w:val="002A0100"/>
    <w:rsid w:val="002A032F"/>
    <w:rsid w:val="002A061A"/>
    <w:rsid w:val="002A3A48"/>
    <w:rsid w:val="002A736A"/>
    <w:rsid w:val="002C3DF6"/>
    <w:rsid w:val="002F19C0"/>
    <w:rsid w:val="00303B20"/>
    <w:rsid w:val="00312EDA"/>
    <w:rsid w:val="003269F7"/>
    <w:rsid w:val="00341D3C"/>
    <w:rsid w:val="00352CA2"/>
    <w:rsid w:val="00354251"/>
    <w:rsid w:val="00357954"/>
    <w:rsid w:val="0036087A"/>
    <w:rsid w:val="00387EE1"/>
    <w:rsid w:val="003A2E5C"/>
    <w:rsid w:val="003A7004"/>
    <w:rsid w:val="003D358E"/>
    <w:rsid w:val="003D6432"/>
    <w:rsid w:val="003E39A2"/>
    <w:rsid w:val="003F236D"/>
    <w:rsid w:val="004172A4"/>
    <w:rsid w:val="00434708"/>
    <w:rsid w:val="0043640F"/>
    <w:rsid w:val="0043777E"/>
    <w:rsid w:val="00442FCB"/>
    <w:rsid w:val="004430FD"/>
    <w:rsid w:val="004442F3"/>
    <w:rsid w:val="00450287"/>
    <w:rsid w:val="00462FF8"/>
    <w:rsid w:val="004717FB"/>
    <w:rsid w:val="00482ECB"/>
    <w:rsid w:val="00485A17"/>
    <w:rsid w:val="004943AC"/>
    <w:rsid w:val="00497E6B"/>
    <w:rsid w:val="00497EAD"/>
    <w:rsid w:val="004A0F82"/>
    <w:rsid w:val="004A474F"/>
    <w:rsid w:val="004D4855"/>
    <w:rsid w:val="004E1410"/>
    <w:rsid w:val="004F312D"/>
    <w:rsid w:val="0052586B"/>
    <w:rsid w:val="00554C51"/>
    <w:rsid w:val="00572D68"/>
    <w:rsid w:val="005731EF"/>
    <w:rsid w:val="00592931"/>
    <w:rsid w:val="00595CB5"/>
    <w:rsid w:val="005A2DD3"/>
    <w:rsid w:val="005B4A6A"/>
    <w:rsid w:val="005D4711"/>
    <w:rsid w:val="005E592B"/>
    <w:rsid w:val="005E7090"/>
    <w:rsid w:val="006029C2"/>
    <w:rsid w:val="00613FC9"/>
    <w:rsid w:val="0065034F"/>
    <w:rsid w:val="0066272D"/>
    <w:rsid w:val="006642B0"/>
    <w:rsid w:val="00694F60"/>
    <w:rsid w:val="006E749B"/>
    <w:rsid w:val="006F30F7"/>
    <w:rsid w:val="00720732"/>
    <w:rsid w:val="0072134E"/>
    <w:rsid w:val="00740455"/>
    <w:rsid w:val="00754575"/>
    <w:rsid w:val="00760970"/>
    <w:rsid w:val="007611B6"/>
    <w:rsid w:val="00762F60"/>
    <w:rsid w:val="00767935"/>
    <w:rsid w:val="00773753"/>
    <w:rsid w:val="00785A12"/>
    <w:rsid w:val="00792117"/>
    <w:rsid w:val="007A1D2A"/>
    <w:rsid w:val="007D3AA8"/>
    <w:rsid w:val="007D6817"/>
    <w:rsid w:val="007E01E2"/>
    <w:rsid w:val="007E133E"/>
    <w:rsid w:val="008028EF"/>
    <w:rsid w:val="00811C9E"/>
    <w:rsid w:val="008127A6"/>
    <w:rsid w:val="008260E5"/>
    <w:rsid w:val="00845FA2"/>
    <w:rsid w:val="00850032"/>
    <w:rsid w:val="00855E98"/>
    <w:rsid w:val="00856484"/>
    <w:rsid w:val="00864B4C"/>
    <w:rsid w:val="008A07C5"/>
    <w:rsid w:val="008A0F93"/>
    <w:rsid w:val="008A3EAC"/>
    <w:rsid w:val="008A65DA"/>
    <w:rsid w:val="008D4B40"/>
    <w:rsid w:val="008D788C"/>
    <w:rsid w:val="008E7573"/>
    <w:rsid w:val="008F13E1"/>
    <w:rsid w:val="00906060"/>
    <w:rsid w:val="00915337"/>
    <w:rsid w:val="009153DD"/>
    <w:rsid w:val="009244AC"/>
    <w:rsid w:val="00930F92"/>
    <w:rsid w:val="00942420"/>
    <w:rsid w:val="009449D3"/>
    <w:rsid w:val="009605C9"/>
    <w:rsid w:val="009A1FC4"/>
    <w:rsid w:val="009A44C6"/>
    <w:rsid w:val="009A6F84"/>
    <w:rsid w:val="009B0EF4"/>
    <w:rsid w:val="009C4FA0"/>
    <w:rsid w:val="009D45CF"/>
    <w:rsid w:val="009E6309"/>
    <w:rsid w:val="00A03185"/>
    <w:rsid w:val="00A03940"/>
    <w:rsid w:val="00A03A82"/>
    <w:rsid w:val="00A0484C"/>
    <w:rsid w:val="00A06547"/>
    <w:rsid w:val="00A40EF5"/>
    <w:rsid w:val="00A44D97"/>
    <w:rsid w:val="00A46915"/>
    <w:rsid w:val="00A47757"/>
    <w:rsid w:val="00A711BD"/>
    <w:rsid w:val="00A9290C"/>
    <w:rsid w:val="00AB228B"/>
    <w:rsid w:val="00AB2C7C"/>
    <w:rsid w:val="00AB6F38"/>
    <w:rsid w:val="00AC0364"/>
    <w:rsid w:val="00AD47A3"/>
    <w:rsid w:val="00AE61E8"/>
    <w:rsid w:val="00AF5ECE"/>
    <w:rsid w:val="00B049AC"/>
    <w:rsid w:val="00B063EA"/>
    <w:rsid w:val="00B1128B"/>
    <w:rsid w:val="00B1680D"/>
    <w:rsid w:val="00B24C98"/>
    <w:rsid w:val="00B264B3"/>
    <w:rsid w:val="00B31692"/>
    <w:rsid w:val="00B35D09"/>
    <w:rsid w:val="00B5176D"/>
    <w:rsid w:val="00B76339"/>
    <w:rsid w:val="00B85393"/>
    <w:rsid w:val="00BB6EDE"/>
    <w:rsid w:val="00BC6FD0"/>
    <w:rsid w:val="00BE3069"/>
    <w:rsid w:val="00C16893"/>
    <w:rsid w:val="00C22CA8"/>
    <w:rsid w:val="00C244D1"/>
    <w:rsid w:val="00C32E08"/>
    <w:rsid w:val="00C37897"/>
    <w:rsid w:val="00C4687C"/>
    <w:rsid w:val="00C510D9"/>
    <w:rsid w:val="00C51477"/>
    <w:rsid w:val="00C57B9D"/>
    <w:rsid w:val="00C7210F"/>
    <w:rsid w:val="00C732C5"/>
    <w:rsid w:val="00CA1952"/>
    <w:rsid w:val="00CB71DF"/>
    <w:rsid w:val="00CC18B4"/>
    <w:rsid w:val="00CD0647"/>
    <w:rsid w:val="00CD48EB"/>
    <w:rsid w:val="00CE17B8"/>
    <w:rsid w:val="00CF2C46"/>
    <w:rsid w:val="00D210FA"/>
    <w:rsid w:val="00D26F64"/>
    <w:rsid w:val="00D513E3"/>
    <w:rsid w:val="00D70A03"/>
    <w:rsid w:val="00D731C3"/>
    <w:rsid w:val="00D747DF"/>
    <w:rsid w:val="00D838A3"/>
    <w:rsid w:val="00D867EE"/>
    <w:rsid w:val="00D91BEB"/>
    <w:rsid w:val="00D9213A"/>
    <w:rsid w:val="00D93170"/>
    <w:rsid w:val="00DA7CE8"/>
    <w:rsid w:val="00DB15DD"/>
    <w:rsid w:val="00DC0736"/>
    <w:rsid w:val="00DC13E3"/>
    <w:rsid w:val="00DC75EA"/>
    <w:rsid w:val="00DD7810"/>
    <w:rsid w:val="00DF4996"/>
    <w:rsid w:val="00DF541B"/>
    <w:rsid w:val="00E2471D"/>
    <w:rsid w:val="00E31062"/>
    <w:rsid w:val="00E32D03"/>
    <w:rsid w:val="00E32E03"/>
    <w:rsid w:val="00E479C7"/>
    <w:rsid w:val="00E56956"/>
    <w:rsid w:val="00E61C10"/>
    <w:rsid w:val="00E703D2"/>
    <w:rsid w:val="00E8016A"/>
    <w:rsid w:val="00E82AC4"/>
    <w:rsid w:val="00EA6478"/>
    <w:rsid w:val="00EB275F"/>
    <w:rsid w:val="00EC1E40"/>
    <w:rsid w:val="00ED41A0"/>
    <w:rsid w:val="00F11A51"/>
    <w:rsid w:val="00F12EE7"/>
    <w:rsid w:val="00F1516B"/>
    <w:rsid w:val="00F3324D"/>
    <w:rsid w:val="00F57085"/>
    <w:rsid w:val="00F732DB"/>
    <w:rsid w:val="00F81B8F"/>
    <w:rsid w:val="00F855EC"/>
    <w:rsid w:val="00F95F2C"/>
    <w:rsid w:val="00FA2A2B"/>
    <w:rsid w:val="00FA4540"/>
    <w:rsid w:val="00FC5B52"/>
    <w:rsid w:val="00FC7494"/>
    <w:rsid w:val="00FE4D06"/>
    <w:rsid w:val="00FF04B4"/>
    <w:rsid w:val="00FF4A9E"/>
    <w:rsid w:val="00FF74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3127</TotalTime>
  <Pages>10</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Thanh-Hai Le</cp:lastModifiedBy>
  <cp:revision>248</cp:revision>
  <dcterms:created xsi:type="dcterms:W3CDTF">2014-07-01T02:10:00Z</dcterms:created>
  <dcterms:modified xsi:type="dcterms:W3CDTF">2014-08-06T13:30:00Z</dcterms:modified>
</cp:coreProperties>
</file>