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400"/>
        <w:jc w:val="center"/>
      </w:pPr>
      <w:r>
        <w:rPr>
          <w:rFonts w:ascii="Arial" w:cs="Arial" w:eastAsia="Arial" w:hAnsi="Arial"/>
          <w:b/>
          <w:bCs/>
          <w:color w:val="1A56A0"/>
          <w:sz w:val="48"/>
          <w:szCs w:val="48"/>
        </w:rPr>
        <w:t xml:space="preserve">MIABE HACKATHON 2026</w:t>
      </w:r>
    </w:p>
    <w:p>
      <w:pPr>
        <w:spacing w:after="100" w:before="100"/>
        <w:jc w:val="center"/>
      </w:pPr>
      <w:r>
        <w:rPr>
          <w:rFonts w:ascii="Arial" w:cs="Arial" w:eastAsia="Arial" w:hAnsi="Arial"/>
          <w:color w:val="2E75B6"/>
          <w:sz w:val="32"/>
          <w:szCs w:val="32"/>
        </w:rPr>
        <w:t xml:space="preserve">Phase 1 — Présélection</w:t>
      </w:r>
    </w:p>
    <w:p>
      <w:pPr>
        <w:pBdr>
          <w:bottom w:val="single" w:color="2E75B6" w:sz="6" w:space="1"/>
        </w:pBdr>
        <w:spacing w:after="200" w:before="200"/>
      </w:pPr>
      <w:r>
        <w:t xml:space="preserve"/>
      </w:r>
    </w:p>
    <w:p>
      <w:pPr>
        <w:spacing w:after="100" w:before="300"/>
        <w:jc w:val="center"/>
      </w:pPr>
      <w:r>
        <w:rPr>
          <w:rFonts w:ascii="Arial" w:cs="Arial" w:eastAsia="Arial" w:hAnsi="Arial"/>
          <w:b/>
          <w:bCs/>
          <w:color w:val="1A56A0"/>
          <w:sz w:val="56"/>
          <w:szCs w:val="56"/>
        </w:rPr>
        <w:t xml:space="preserve">DiasporaConnect</w:t>
      </w:r>
    </w:p>
    <w:p>
      <w:pPr>
        <w:spacing w:after="400" w:before="100"/>
        <w:jc w:val="center"/>
      </w:pPr>
      <w:r>
        <w:rPr>
          <w:rFonts w:ascii="Arial" w:cs="Arial" w:eastAsia="Arial" w:hAnsi="Arial"/>
          <w:color w:val="555555"/>
          <w:sz w:val="28"/>
          <w:szCs w:val="28"/>
        </w:rPr>
        <w:t xml:space="preserve">Document Technique — Composante Blockchain</w:t>
      </w:r>
    </w:p>
    <w:p>
      <w:pPr>
        <w:pBdr>
          <w:bottom w:val="single" w:color="2E75B6" w:sz="6" w:space="1"/>
        </w:pBdr>
        <w:spacing w:after="200" w:before="200"/>
      </w:pPr>
      <w:r>
        <w:t xml:space="preserve"/>
      </w:r>
    </w:p>
    <w:p>
      <w:pPr>
        <w:spacing w:after="100" w:before="100"/>
      </w:pPr>
      <w:r>
        <w:t xml:space="preserve"/>
      </w:r>
    </w:p>
    <w:p>
      <w:pPr>
        <w:spacing w:after="100" w:before="200"/>
        <w:jc w:val="center"/>
      </w:pPr>
      <w:r>
        <w:rPr>
          <w:rFonts w:ascii="Arial" w:cs="Arial" w:eastAsia="Arial" w:hAnsi="Arial"/>
          <w:b/>
          <w:bCs/>
          <w:color w:val="333333"/>
          <w:sz w:val="24"/>
          <w:szCs w:val="24"/>
        </w:rPr>
        <w:t xml:space="preserve">Rédigé par : SETONDJI Osias</w:t>
      </w:r>
    </w:p>
    <w:p>
      <w:pPr>
        <w:spacing w:after="60" w:before="60"/>
        <w:jc w:val="center"/>
      </w:pPr>
      <w:r>
        <w:rPr>
          <w:rFonts w:ascii="Arial" w:cs="Arial" w:eastAsia="Arial" w:hAnsi="Arial"/>
          <w:color w:val="555555"/>
          <w:sz w:val="22"/>
          <w:szCs w:val="22"/>
        </w:rPr>
        <w:t xml:space="preserve">Rôle : Architecte Blockchain &amp; Backend</w:t>
      </w:r>
    </w:p>
    <w:p>
      <w:pPr>
        <w:spacing w:after="60" w:before="60"/>
        <w:jc w:val="center"/>
      </w:pPr>
      <w:r>
        <w:rPr>
          <w:rFonts w:ascii="Arial" w:cs="Arial" w:eastAsia="Arial" w:hAnsi="Arial"/>
          <w:color w:val="555555"/>
          <w:sz w:val="22"/>
          <w:szCs w:val="22"/>
        </w:rPr>
        <w:t xml:space="preserve">Équipe : Souraka HAMIDA · SETONDJI Osias · DOUNON Théophile</w:t>
      </w:r>
    </w:p>
    <w:p>
      <w:pPr>
        <w:spacing w:after="100" w:before="100"/>
      </w:pPr>
      <w:r>
        <w:t xml:space="preserve"/>
      </w:r>
    </w:p>
    <w:p>
      <w:r>
        <w:br w:type="page"/>
      </w:r>
    </w:p>
    <w:p>
      <w:pPr>
        <w:pStyle w:val="Heading1"/>
        <w:spacing w:after="200" w:before="400"/>
      </w:pPr>
      <w:r>
        <w:rPr>
          <w:rFonts w:ascii="Arial" w:cs="Arial" w:eastAsia="Arial" w:hAnsi="Arial"/>
          <w:b/>
          <w:bCs/>
          <w:color w:val="1A56A0"/>
          <w:sz w:val="32"/>
          <w:szCs w:val="32"/>
        </w:rPr>
        <w:t xml:space="preserve">PARTIE 1 — Choix de la Blockchain</w:t>
      </w:r>
    </w:p>
    <w:p>
      <w:pPr>
        <w:pBdr>
          <w:bottom w:val="single" w:color="2E75B6" w:sz="6" w:space="1"/>
        </w:pBdr>
        <w:spacing w:after="200" w:before="200"/>
      </w:pPr>
      <w:r>
        <w:t xml:space="preserve"/>
      </w:r>
    </w:p>
    <w:p>
      <w:pPr>
        <w:pStyle w:val="Heading2"/>
        <w:spacing w:after="160" w:before="300"/>
      </w:pPr>
      <w:r>
        <w:rPr>
          <w:rFonts w:ascii="Arial" w:cs="Arial" w:eastAsia="Arial" w:hAnsi="Arial"/>
          <w:b/>
          <w:bCs/>
          <w:color w:val="2E75B6"/>
          <w:sz w:val="26"/>
          <w:szCs w:val="26"/>
        </w:rPr>
        <w:t xml:space="preserve">1.1 Pourquoi pas Bitcoin ou Ethereum directement ?</w:t>
      </w:r>
    </w:p>
    <w:p>
      <w:pPr>
        <w:spacing w:after="100" w:before="100"/>
      </w:pPr>
      <w:r>
        <w:rPr>
          <w:rFonts w:ascii="Arial" w:cs="Arial" w:eastAsia="Arial" w:hAnsi="Arial"/>
          <w:sz w:val="22"/>
          <w:szCs w:val="22"/>
        </w:rPr>
        <w:t xml:space="preserve">Pour un service de transfert d'argent, deux critères sont non négociables : la stabilité de la valeur et le coût des frais de transaction. Bitcoin et Ethereum échouent sur ces deux points.</w:t>
      </w:r>
    </w:p>
    <w:p>
      <w:pPr>
        <w:spacing w:after="100" w:before="100"/>
      </w:pPr>
      <w:r>
        <w:t xml:space="preserve"/>
      </w:r>
    </w:p>
    <w:p>
      <w:pPr>
        <w:spacing w:after="100" w:before="100"/>
      </w:pPr>
      <w:r>
        <w:rPr>
          <w:rFonts w:ascii="Arial" w:cs="Arial" w:eastAsia="Arial" w:hAnsi="Arial"/>
          <w:i/>
          <w:iCs/>
          <w:sz w:val="22"/>
          <w:szCs w:val="22"/>
        </w:rPr>
        <w:t xml:space="preserve">Bitcoin et Ethereum sont des cryptomonnaies spéculatives dont la valeur fluctue considérablement en fonction du marché. Si un expéditeur envoie l'équivalent de 200 euros en Bitcoin, la famille au Bénin pourrait recevoir 170 ou 230 euros selon les variations du marché au moment de la transaction. Cette imprévisibilité est totalement incompatible avec notre mission.</w:t>
      </w:r>
    </w:p>
    <w:p>
      <w:pPr>
        <w:spacing w:after="100" w:before="100"/>
      </w:pPr>
      <w:r>
        <w:t xml:space="preserve"/>
      </w:r>
    </w:p>
    <w:p>
      <w:pPr>
        <w:spacing w:after="100" w:before="100"/>
      </w:pPr>
      <w:r>
        <w:rPr>
          <w:rFonts w:ascii="Arial" w:cs="Arial" w:eastAsia="Arial" w:hAnsi="Arial"/>
          <w:sz w:val="22"/>
          <w:szCs w:val="22"/>
        </w:rPr>
        <w:t xml:space="preserve">De plus, les frais de transaction sur le réseau Ethereum peuvent atteindre entre 5 et 50 dollars par transaction selon la congestion du réseau — ce qui contredit directement l'objectif de DiasporaConnect de réduire les frais au strict minimum.</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1.2 La solution : USDC sur le réseau Polygon</w:t>
      </w:r>
    </w:p>
    <w:p>
      <w:pPr>
        <w:spacing w:after="100" w:before="100"/>
      </w:pPr>
      <w:r>
        <w:rPr>
          <w:rFonts w:ascii="Arial" w:cs="Arial" w:eastAsia="Arial" w:hAnsi="Arial"/>
          <w:sz w:val="22"/>
          <w:szCs w:val="22"/>
        </w:rPr>
        <w:t xml:space="preserve">Notre architecture repose sur deux composants distincts et complémentaires :</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Polygon (MATIC) : le réseau de transport — rapide, fiable et quasi gratuit</w:t>
      </w:r>
    </w:p>
    <w:p>
      <w:pPr>
        <w:pStyle w:val="ListParagraph"/>
        <w:numPr>
          <w:ilvl w:val="0"/>
          <w:numId w:val="2"/>
        </w:numPr>
        <w:spacing w:after="60" w:before="60"/>
      </w:pPr>
      <w:r>
        <w:rPr>
          <w:rFonts w:ascii="Arial" w:cs="Arial" w:eastAsia="Arial" w:hAnsi="Arial"/>
          <w:sz w:val="22"/>
          <w:szCs w:val="22"/>
        </w:rPr>
        <w:t xml:space="preserve">USDC (USD Coin) : la monnaie du transfert — un stablecoin adossé au dollar américain</w:t>
      </w:r>
    </w:p>
    <w:p>
      <w:pPr>
        <w:spacing w:after="100" w:before="100"/>
      </w:pPr>
      <w:r>
        <w:t xml:space="preserve"/>
      </w:r>
    </w:p>
    <w:p>
      <w:pPr>
        <w:spacing w:after="100" w:before="100"/>
      </w:pPr>
      <w:r>
        <w:rPr>
          <w:rFonts w:ascii="Arial" w:cs="Arial" w:eastAsia="Arial" w:hAnsi="Arial"/>
          <w:sz w:val="22"/>
          <w:szCs w:val="22"/>
        </w:rPr>
        <w:t xml:space="preserve">L'analogie la plus juste est la suivante : Polygon est notre autoroute, et l'USDC est notre véhicule. Nous utilisons l'autoroute Polygon parce qu'elle est rapide et peu coûteuse. Nous transportons de l'USDC parce que sa valeur est garantie et stable.</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1.3 Tableau comparatif des réseaux</w:t>
      </w:r>
    </w:p>
    <w:p>
      <w:pPr>
        <w:spacing w:after="100" w:before="10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tblGrid>
      <w:tr>
        <w:trPr>
          <w:tblHeader/>
        </w:trPr>
        <w:tc>
          <w:tcPr>
            <w:tcW w:type="dxa" w:w="312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Critère</w:t>
            </w:r>
          </w:p>
        </w:tc>
        <w:tc>
          <w:tcPr>
            <w:tcW w:type="dxa" w:w="156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Bitcoin</w:t>
            </w:r>
          </w:p>
        </w:tc>
        <w:tc>
          <w:tcPr>
            <w:tcW w:type="dxa" w:w="156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Ethereum</w:t>
            </w:r>
          </w:p>
        </w:tc>
        <w:tc>
          <w:tcPr>
            <w:tcW w:type="dxa" w:w="156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Polygon ✅</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Frais de transaction</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5$ à 30$</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5$ à 50$</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&lt; 0,10$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Temps de confirmation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10 à 60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15 à 30 sec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2 à 5 sec</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Stabilité de la valeur</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 Volatile</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 Volatile</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 Via USDC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Adapté aux micro-transferts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 Non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 Non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 Oui</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Documentation disponible</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Bonne</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Très bonne</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Très bonne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Utilisation en Afrique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Faible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Moyenne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Croissante</w:t>
            </w:r>
          </w:p>
        </w:tc>
      </w:tr>
    </w:tbl>
    <w:p>
      <w:pPr>
        <w:spacing w:after="100" w:before="100"/>
      </w:pPr>
      <w:r>
        <w:t xml:space="preserve"/>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1.4 Pourquoi Polygon plutôt que Solana ?</w:t>
      </w:r>
    </w:p>
    <w:p>
      <w:pPr>
        <w:spacing w:after="100" w:before="100"/>
      </w:pPr>
      <w:r>
        <w:rPr>
          <w:rFonts w:ascii="Arial" w:cs="Arial" w:eastAsia="Arial" w:hAnsi="Arial"/>
          <w:sz w:val="22"/>
          <w:szCs w:val="22"/>
        </w:rPr>
        <w:t xml:space="preserve">Solana est souvent cité pour sa rapidité et ses frais ultra-bas. Cependant, plusieurs facteurs nous ont conduit à choisir Polygon :</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Stabilité historique : Solana a connu plusieurs pannes réseau majeures par le passé, ce qui est inacceptable pour un service financier critique</w:t>
      </w:r>
    </w:p>
    <w:p>
      <w:pPr>
        <w:pStyle w:val="ListParagraph"/>
        <w:numPr>
          <w:ilvl w:val="0"/>
          <w:numId w:val="2"/>
        </w:numPr>
        <w:spacing w:after="60" w:before="60"/>
      </w:pPr>
      <w:r>
        <w:rPr>
          <w:rFonts w:ascii="Arial" w:cs="Arial" w:eastAsia="Arial" w:hAnsi="Arial"/>
          <w:sz w:val="22"/>
          <w:szCs w:val="22"/>
        </w:rPr>
        <w:t xml:space="preserve">Compatibilité Ethereum : Polygon est compatible avec l'écosystème Ethereum, ce qui facilite l'intégration des outils et librairies existants</w:t>
      </w:r>
    </w:p>
    <w:p>
      <w:pPr>
        <w:pStyle w:val="ListParagraph"/>
        <w:numPr>
          <w:ilvl w:val="0"/>
          <w:numId w:val="2"/>
        </w:numPr>
        <w:spacing w:after="60" w:before="60"/>
      </w:pPr>
      <w:r>
        <w:rPr>
          <w:rFonts w:ascii="Arial" w:cs="Arial" w:eastAsia="Arial" w:hAnsi="Arial"/>
          <w:sz w:val="22"/>
          <w:szCs w:val="22"/>
        </w:rPr>
        <w:t xml:space="preserve">Communauté et documentation : Polygon dispose d'une documentation plus riche et d'une communauté de développeurs plus active pour les cas d'usage financiers</w:t>
      </w:r>
    </w:p>
    <w:p>
      <w:pPr>
        <w:pStyle w:val="ListParagraph"/>
        <w:numPr>
          <w:ilvl w:val="0"/>
          <w:numId w:val="2"/>
        </w:numPr>
        <w:spacing w:after="60" w:before="60"/>
      </w:pPr>
      <w:r>
        <w:rPr>
          <w:rFonts w:ascii="Arial" w:cs="Arial" w:eastAsia="Arial" w:hAnsi="Arial"/>
          <w:sz w:val="22"/>
          <w:szCs w:val="22"/>
        </w:rPr>
        <w:t xml:space="preserve">Librairie Ethers.js : La librairie standard de l'industrie pour interagir avec Polygon est Ethers.js, bien maintenue et largement documentée</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1.5 Stack technique retenu</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Composant</w:t>
            </w:r>
          </w:p>
        </w:tc>
        <w:tc>
          <w:tcPr>
            <w:tcW w:type="dxa" w:w="234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Technologie</w:t>
            </w:r>
          </w:p>
        </w:tc>
        <w:tc>
          <w:tcPr>
            <w:tcW w:type="dxa" w:w="468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Justification</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Backend principal</w:t>
            </w:r>
          </w:p>
        </w:tc>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Node.js + Express</w:t>
            </w:r>
          </w:p>
        </w:tc>
        <w:tc>
          <w:tcPr>
            <w:tcW w:type="dxa" w:w="468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Maîtrise de l'équipe, performances temps réel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Interaction blockchain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Ethers.js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Standard industrie 2026, léger et bien maintenu</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Réseau blockchain</w:t>
            </w:r>
          </w:p>
        </w:tc>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Polygon</w:t>
            </w:r>
          </w:p>
        </w:tc>
        <w:tc>
          <w:tcPr>
            <w:tcW w:type="dxa" w:w="468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Frais quasi nuls, rapidité, stabilité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Monnaie de transfert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USDC (stablecoin)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Valeur stable adossée au dollar</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Base de données</w:t>
            </w:r>
          </w:p>
        </w:tc>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PostgreSQL</w:t>
            </w:r>
          </w:p>
        </w:tc>
        <w:tc>
          <w:tcPr>
            <w:tcW w:type="dxa" w:w="468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Robuste, relationnel, adapté aux données financières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API taux de change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CoinGecko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Gratuite, fiable, données temps réel</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Notifications</w:t>
            </w:r>
          </w:p>
        </w:tc>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Twilio SMS</w:t>
            </w:r>
          </w:p>
        </w:tc>
        <w:tc>
          <w:tcPr>
            <w:tcW w:type="dxa" w:w="468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OTP et alertes de transfert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Déploiement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Railway / Render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Rapide, gratuit, adapté au MVP</w:t>
            </w:r>
          </w:p>
        </w:tc>
      </w:tr>
    </w:tbl>
    <w:p>
      <w:pPr>
        <w:spacing w:after="100" w:before="100"/>
      </w:pPr>
      <w:r>
        <w:t xml:space="preserve"/>
      </w:r>
    </w:p>
    <w:p>
      <w:r>
        <w:br w:type="page"/>
      </w:r>
    </w:p>
    <w:p>
      <w:pPr>
        <w:pStyle w:val="Heading1"/>
        <w:spacing w:after="200" w:before="400"/>
      </w:pPr>
      <w:r>
        <w:rPr>
          <w:rFonts w:ascii="Arial" w:cs="Arial" w:eastAsia="Arial" w:hAnsi="Arial"/>
          <w:b/>
          <w:bCs/>
          <w:color w:val="1A56A0"/>
          <w:sz w:val="32"/>
          <w:szCs w:val="32"/>
        </w:rPr>
        <w:t xml:space="preserve">PARTIE 2 — Smart Contract &amp; Sécurité des Fonds</w:t>
      </w:r>
    </w:p>
    <w:p>
      <w:pPr>
        <w:pBdr>
          <w:bottom w:val="single" w:color="2E75B6" w:sz="6" w:space="1"/>
        </w:pBdr>
        <w:spacing w:after="200" w:before="200"/>
      </w:pPr>
      <w:r>
        <w:t xml:space="preserve"/>
      </w:r>
    </w:p>
    <w:p>
      <w:pPr>
        <w:pStyle w:val="Heading2"/>
        <w:spacing w:after="160" w:before="300"/>
      </w:pPr>
      <w:r>
        <w:rPr>
          <w:rFonts w:ascii="Arial" w:cs="Arial" w:eastAsia="Arial" w:hAnsi="Arial"/>
          <w:b/>
          <w:bCs/>
          <w:color w:val="2E75B6"/>
          <w:sz w:val="26"/>
          <w:szCs w:val="26"/>
        </w:rPr>
        <w:t xml:space="preserve">2.1 Qu'est-ce qu'un smart contract ?</w:t>
      </w:r>
    </w:p>
    <w:p>
      <w:pPr>
        <w:spacing w:after="100" w:before="100"/>
      </w:pPr>
      <w:r>
        <w:rPr>
          <w:rFonts w:ascii="Arial" w:cs="Arial" w:eastAsia="Arial" w:hAnsi="Arial"/>
          <w:sz w:val="22"/>
          <w:szCs w:val="22"/>
        </w:rPr>
        <w:t xml:space="preserve">Un smart contract est un programme autonome déployé sur la blockchain. Il s'exécute automatiquement selon des règles définies à l'avance, sans qu'aucun intermédiaire humain n'intervienne.</w:t>
      </w:r>
    </w:p>
    <w:p>
      <w:pPr>
        <w:spacing w:after="100" w:before="100"/>
      </w:pPr>
      <w:r>
        <w:t xml:space="preserve"/>
      </w:r>
    </w:p>
    <w:p>
      <w:pPr>
        <w:spacing w:after="100" w:before="100"/>
      </w:pPr>
      <w:r>
        <w:rPr>
          <w:rFonts w:ascii="Arial" w:cs="Arial" w:eastAsia="Arial" w:hAnsi="Arial"/>
          <w:i/>
          <w:iCs/>
          <w:sz w:val="22"/>
          <w:szCs w:val="22"/>
        </w:rPr>
        <w:t xml:space="preserve">Pour DiasporaConnect, le smart contract remplace le rôle d'une banque ou d'un service comme Western Union. C'est lui qui reçoit les fonds, les bloque le temps de la vérification, puis les libère automatiquement au destinataire. Personne — ni notre équipe, ni une banque — ne peut modifier ce processus une fois le contrat déployé.</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2.2 Fonctionnement étape par étape</w:t>
      </w:r>
    </w:p>
    <w:p>
      <w:pPr>
        <w:spacing w:after="100" w:before="100"/>
      </w:pPr>
      <w:r>
        <w:t xml:space="preserve"/>
      </w:r>
    </w:p>
    <w:p>
      <w:pPr>
        <w:spacing w:after="120" w:before="200"/>
      </w:pPr>
      <w:r>
        <w:rPr>
          <w:rFonts w:ascii="Arial" w:cs="Arial" w:eastAsia="Arial" w:hAnsi="Arial"/>
          <w:b/>
          <w:bCs/>
          <w:color w:val="333333"/>
          <w:sz w:val="24"/>
          <w:szCs w:val="24"/>
        </w:rPr>
        <w:t xml:space="preserve">Étape 1 — Dépôt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9"/>
                <w:szCs w:val="19"/>
              </w:rPr>
              <w:t xml:space="preserve">L'expéditeur envoie 200 USDC au smart contract via l'application.</w:t>
            </w:r>
          </w:p>
          <w:p>
            <w:pPr>
              <w:spacing w:after="40" w:before="40"/>
            </w:pPr>
            <w:r>
              <w:rPr>
                <w:rFonts w:ascii="Courier New" w:cs="Courier New" w:eastAsia="Courier New" w:hAnsi="Courier New"/>
                <w:color w:val="00FF88"/>
                <w:sz w:val="19"/>
                <w:szCs w:val="19"/>
              </w:rPr>
              <w:t xml:space="preserve">Le smart contract enregistre automatiquement :</w:t>
            </w:r>
          </w:p>
          <w:p>
            <w:pPr>
              <w:spacing w:after="40" w:before="40"/>
            </w:pPr>
            <w:r>
              <w:rPr>
                <w:rFonts w:ascii="Courier New" w:cs="Courier New" w:eastAsia="Courier New" w:hAnsi="Courier New"/>
                <w:color w:val="00FF88"/>
                <w:sz w:val="19"/>
                <w:szCs w:val="19"/>
              </w:rPr>
              <w:t xml:space="preserve">  → Adresse de l'expéditeur</w:t>
            </w:r>
          </w:p>
          <w:p>
            <w:pPr>
              <w:spacing w:after="40" w:before="40"/>
            </w:pPr>
            <w:r>
              <w:rPr>
                <w:rFonts w:ascii="Courier New" w:cs="Courier New" w:eastAsia="Courier New" w:hAnsi="Courier New"/>
                <w:color w:val="00FF88"/>
                <w:sz w:val="19"/>
                <w:szCs w:val="19"/>
              </w:rPr>
              <w:t xml:space="preserve">  → Montant exact envoyé</w:t>
            </w:r>
          </w:p>
          <w:p>
            <w:pPr>
              <w:spacing w:after="40" w:before="40"/>
            </w:pPr>
            <w:r>
              <w:rPr>
                <w:rFonts w:ascii="Courier New" w:cs="Courier New" w:eastAsia="Courier New" w:hAnsi="Courier New"/>
                <w:color w:val="00FF88"/>
                <w:sz w:val="19"/>
                <w:szCs w:val="19"/>
              </w:rPr>
              <w:t xml:space="preserve">  → Identifiant du destinataire</w:t>
            </w:r>
          </w:p>
          <w:p>
            <w:pPr>
              <w:spacing w:after="40" w:before="40"/>
            </w:pPr>
            <w:r>
              <w:rPr>
                <w:rFonts w:ascii="Courier New" w:cs="Courier New" w:eastAsia="Courier New" w:hAnsi="Courier New"/>
                <w:color w:val="00FF88"/>
                <w:sz w:val="19"/>
                <w:szCs w:val="19"/>
              </w:rPr>
              <w:t xml:space="preserve">  → Horodatage de la transaction</w:t>
            </w:r>
          </w:p>
        </w:tc>
      </w:tr>
    </w:tbl>
    <w:p>
      <w:pPr>
        <w:spacing w:after="100" w:before="100"/>
      </w:pPr>
      <w:r>
        <w:t xml:space="preserve"/>
      </w:r>
    </w:p>
    <w:p>
      <w:pPr>
        <w:spacing w:after="120" w:before="200"/>
      </w:pPr>
      <w:r>
        <w:rPr>
          <w:rFonts w:ascii="Arial" w:cs="Arial" w:eastAsia="Arial" w:hAnsi="Arial"/>
          <w:b/>
          <w:bCs/>
          <w:color w:val="333333"/>
          <w:sz w:val="24"/>
          <w:szCs w:val="24"/>
        </w:rPr>
        <w:t xml:space="preserve">Étape 2 — Verrouillage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9"/>
                <w:szCs w:val="19"/>
              </w:rPr>
              <w:t xml:space="preserve">Les fonds sont bloqués dans le smart contract.</w:t>
            </w:r>
          </w:p>
          <w:p>
            <w:pPr>
              <w:spacing w:after="40" w:before="40"/>
            </w:pPr>
            <w:r>
              <w:rPr>
                <w:rFonts w:ascii="Courier New" w:cs="Courier New" w:eastAsia="Courier New" w:hAnsi="Courier New"/>
                <w:color w:val="00FF88"/>
                <w:sz w:val="19"/>
                <w:szCs w:val="19"/>
              </w:rPr>
              <w:t xml:space="preserve">Personne ne peut y accéder :</w:t>
            </w:r>
          </w:p>
          <w:p>
            <w:pPr>
              <w:spacing w:after="40" w:before="40"/>
            </w:pPr>
            <w:r>
              <w:rPr>
                <w:rFonts w:ascii="Courier New" w:cs="Courier New" w:eastAsia="Courier New" w:hAnsi="Courier New"/>
                <w:color w:val="00FF88"/>
                <w:sz w:val="19"/>
                <w:szCs w:val="19"/>
              </w:rPr>
              <w:t xml:space="preserve">  → Ni l'expéditeur</w:t>
            </w:r>
          </w:p>
          <w:p>
            <w:pPr>
              <w:spacing w:after="40" w:before="40"/>
            </w:pPr>
            <w:r>
              <w:rPr>
                <w:rFonts w:ascii="Courier New" w:cs="Courier New" w:eastAsia="Courier New" w:hAnsi="Courier New"/>
                <w:color w:val="00FF88"/>
                <w:sz w:val="19"/>
                <w:szCs w:val="19"/>
              </w:rPr>
              <w:t xml:space="preserve">  → Ni l'équipe DiasporaConnect</w:t>
            </w:r>
          </w:p>
          <w:p>
            <w:pPr>
              <w:spacing w:after="40" w:before="40"/>
            </w:pPr>
            <w:r>
              <w:rPr>
                <w:rFonts w:ascii="Courier New" w:cs="Courier New" w:eastAsia="Courier New" w:hAnsi="Courier New"/>
                <w:color w:val="00FF88"/>
                <w:sz w:val="19"/>
                <w:szCs w:val="19"/>
              </w:rPr>
              <w:t xml:space="preserve">  → Ni une banque ou un tiers</w:t>
            </w:r>
          </w:p>
          <w:p>
            <w:pPr>
              <w:spacing w:after="40" w:before="40"/>
            </w:pPr>
            <w:r>
              <w:rPr>
                <w:rFonts w:ascii="Courier New" w:cs="Courier New" w:eastAsia="Courier New" w:hAnsi="Courier New"/>
                <w:color w:val="00FF88"/>
                <w:sz w:val="19"/>
                <w:szCs w:val="19"/>
              </w:rPr>
              <w:t xml:space="preserve">Les fonds sont visibles publiquement sur la blockchain Polygon.</w:t>
            </w:r>
          </w:p>
        </w:tc>
      </w:tr>
    </w:tbl>
    <w:p>
      <w:pPr>
        <w:spacing w:after="100" w:before="100"/>
      </w:pPr>
      <w:r>
        <w:t xml:space="preserve"/>
      </w:r>
    </w:p>
    <w:p>
      <w:pPr>
        <w:spacing w:after="120" w:before="200"/>
      </w:pPr>
      <w:r>
        <w:rPr>
          <w:rFonts w:ascii="Arial" w:cs="Arial" w:eastAsia="Arial" w:hAnsi="Arial"/>
          <w:b/>
          <w:bCs/>
          <w:color w:val="333333"/>
          <w:sz w:val="24"/>
          <w:szCs w:val="24"/>
        </w:rPr>
        <w:t xml:space="preserve">Étape 3 — Vérification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9"/>
                <w:szCs w:val="19"/>
              </w:rPr>
              <w:t xml:space="preserve">Le smart contract vérifie automatiquement :</w:t>
            </w:r>
          </w:p>
          <w:p>
            <w:pPr>
              <w:spacing w:after="40" w:before="40"/>
            </w:pPr>
            <w:r>
              <w:rPr>
                <w:rFonts w:ascii="Courier New" w:cs="Courier New" w:eastAsia="Courier New" w:hAnsi="Courier New"/>
                <w:color w:val="00FF88"/>
                <w:sz w:val="19"/>
                <w:szCs w:val="19"/>
              </w:rPr>
              <w:t xml:space="preserve">  → Le destinataire est-il enregistré sur la plateforme ?</w:t>
            </w:r>
          </w:p>
          <w:p>
            <w:pPr>
              <w:spacing w:after="40" w:before="40"/>
            </w:pPr>
            <w:r>
              <w:rPr>
                <w:rFonts w:ascii="Courier New" w:cs="Courier New" w:eastAsia="Courier New" w:hAnsi="Courier New"/>
                <w:color w:val="00FF88"/>
                <w:sz w:val="19"/>
                <w:szCs w:val="19"/>
              </w:rPr>
              <w:t xml:space="preserve">  → Son numéro de téléphone est-il vérifié ?</w:t>
            </w:r>
          </w:p>
          <w:p>
            <w:pPr>
              <w:spacing w:after="40" w:before="40"/>
            </w:pPr>
            <w:r>
              <w:rPr>
                <w:rFonts w:ascii="Courier New" w:cs="Courier New" w:eastAsia="Courier New" w:hAnsi="Courier New"/>
                <w:color w:val="00FF88"/>
                <w:sz w:val="19"/>
                <w:szCs w:val="19"/>
              </w:rPr>
              <w:t xml:space="preserve">  → Son adresse wallet est-elle liée à ce numéro ?</w:t>
            </w:r>
          </w:p>
          <w:p>
            <w:pPr>
              <w:spacing w:after="40" w:before="40"/>
            </w:pPr>
            <w:r>
              <w:rPr>
                <w:rFonts w:ascii="Courier New" w:cs="Courier New" w:eastAsia="Courier New" w:hAnsi="Courier New"/>
                <w:color w:val="00FF88"/>
                <w:sz w:val="19"/>
                <w:szCs w:val="19"/>
              </w:rPr>
              <w:t xml:space="preserve">Si OUI → passage à l'étape suivante</w:t>
            </w:r>
          </w:p>
          <w:p>
            <w:pPr>
              <w:spacing w:after="40" w:before="40"/>
            </w:pPr>
            <w:r>
              <w:rPr>
                <w:rFonts w:ascii="Courier New" w:cs="Courier New" w:eastAsia="Courier New" w:hAnsi="Courier New"/>
                <w:color w:val="00FF88"/>
                <w:sz w:val="19"/>
                <w:szCs w:val="19"/>
              </w:rPr>
              <w:t xml:space="preserve">Si NON → les fonds sont renvoyés automatiquement à l'expéditeur</w:t>
            </w:r>
          </w:p>
        </w:tc>
      </w:tr>
    </w:tbl>
    <w:p>
      <w:pPr>
        <w:spacing w:after="100" w:before="100"/>
      </w:pPr>
      <w:r>
        <w:t xml:space="preserve"/>
      </w:r>
    </w:p>
    <w:p>
      <w:pPr>
        <w:spacing w:after="120" w:before="200"/>
      </w:pPr>
      <w:r>
        <w:rPr>
          <w:rFonts w:ascii="Arial" w:cs="Arial" w:eastAsia="Arial" w:hAnsi="Arial"/>
          <w:b/>
          <w:bCs/>
          <w:color w:val="333333"/>
          <w:sz w:val="24"/>
          <w:szCs w:val="24"/>
        </w:rPr>
        <w:t xml:space="preserve">Étape 4 — Libération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9"/>
                <w:szCs w:val="19"/>
              </w:rPr>
              <w:t xml:space="preserve">Toutes les conditions sont validées.</w:t>
            </w:r>
          </w:p>
          <w:p>
            <w:pPr>
              <w:spacing w:after="40" w:before="40"/>
            </w:pPr>
            <w:r>
              <w:rPr>
                <w:rFonts w:ascii="Courier New" w:cs="Courier New" w:eastAsia="Courier New" w:hAnsi="Courier New"/>
                <w:color w:val="00FF88"/>
                <w:sz w:val="19"/>
                <w:szCs w:val="19"/>
              </w:rPr>
              <w:t xml:space="preserve">Le smart contract libère automatiquement les fonds</w:t>
            </w:r>
          </w:p>
          <w:p>
            <w:pPr>
              <w:spacing w:after="40" w:before="40"/>
            </w:pPr>
            <w:r>
              <w:rPr>
                <w:rFonts w:ascii="Courier New" w:cs="Courier New" w:eastAsia="Courier New" w:hAnsi="Courier New"/>
                <w:color w:val="00FF88"/>
                <w:sz w:val="19"/>
                <w:szCs w:val="19"/>
              </w:rPr>
              <w:t xml:space="preserve">vers l'adresse wallet du destinataire.</w:t>
            </w:r>
          </w:p>
          <w:p>
            <w:pPr>
              <w:spacing w:after="40" w:before="40"/>
            </w:pPr>
            <w:r>
              <w:rPr>
                <w:rFonts w:ascii="Courier New" w:cs="Courier New" w:eastAsia="Courier New" w:hAnsi="Courier New"/>
                <w:color w:val="00FF88"/>
                <w:sz w:val="19"/>
                <w:szCs w:val="19"/>
              </w:rPr>
              <w:t xml:space="preserve">Durée totale de l'opération : 2 à 5 secondes.</w:t>
            </w:r>
          </w:p>
          <w:p>
            <w:pPr>
              <w:spacing w:after="40" w:before="40"/>
            </w:pPr>
            <w:r>
              <w:rPr>
                <w:rFonts w:ascii="Courier New" w:cs="Courier New" w:eastAsia="Courier New" w:hAnsi="Courier New"/>
                <w:color w:val="00FF88"/>
                <w:sz w:val="19"/>
                <w:szCs w:val="19"/>
              </w:rPr>
              <w:t xml:space="preserve">Aucun humain n'intervient dans ce processus.</w:t>
            </w:r>
          </w:p>
        </w:tc>
      </w:tr>
    </w:tbl>
    <w:p>
      <w:pPr>
        <w:spacing w:after="100" w:before="100"/>
      </w:pPr>
      <w:r>
        <w:t xml:space="preserve"/>
      </w:r>
    </w:p>
    <w:p>
      <w:pPr>
        <w:spacing w:after="120" w:before="200"/>
      </w:pPr>
      <w:r>
        <w:rPr>
          <w:rFonts w:ascii="Arial" w:cs="Arial" w:eastAsia="Arial" w:hAnsi="Arial"/>
          <w:b/>
          <w:bCs/>
          <w:color w:val="333333"/>
          <w:sz w:val="24"/>
          <w:szCs w:val="24"/>
        </w:rPr>
        <w:t xml:space="preserve">Étape 5 — Retrait en CFA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9"/>
                <w:szCs w:val="19"/>
              </w:rPr>
              <w:t xml:space="preserve">Le destinataire reçoit une notification sur son téléphone.</w:t>
            </w:r>
          </w:p>
          <w:p>
            <w:pPr>
              <w:spacing w:after="40" w:before="40"/>
            </w:pPr>
            <w:r>
              <w:rPr>
                <w:rFonts w:ascii="Courier New" w:cs="Courier New" w:eastAsia="Courier New" w:hAnsi="Courier New"/>
                <w:color w:val="00FF88"/>
                <w:sz w:val="19"/>
                <w:szCs w:val="19"/>
              </w:rPr>
              <w:t xml:space="preserve">Il demande un retrait depuis l'application.</w:t>
            </w:r>
          </w:p>
          <w:p>
            <w:pPr>
              <w:spacing w:after="40" w:before="40"/>
            </w:pPr>
            <w:r>
              <w:rPr>
                <w:rFonts w:ascii="Courier New" w:cs="Courier New" w:eastAsia="Courier New" w:hAnsi="Courier New"/>
                <w:color w:val="00FF88"/>
                <w:sz w:val="19"/>
                <w:szCs w:val="19"/>
              </w:rPr>
              <w:t xml:space="preserve">Notre backend Node.js :</w:t>
            </w:r>
          </w:p>
          <w:p>
            <w:pPr>
              <w:spacing w:after="40" w:before="40"/>
            </w:pPr>
            <w:r>
              <w:rPr>
                <w:rFonts w:ascii="Courier New" w:cs="Courier New" w:eastAsia="Courier New" w:hAnsi="Courier New"/>
                <w:color w:val="00FF88"/>
                <w:sz w:val="19"/>
                <w:szCs w:val="19"/>
              </w:rPr>
              <w:t xml:space="preserve">  → Convertit les USDC en francs CFA au taux du marché</w:t>
            </w:r>
          </w:p>
          <w:p>
            <w:pPr>
              <w:spacing w:after="40" w:before="40"/>
            </w:pPr>
            <w:r>
              <w:rPr>
                <w:rFonts w:ascii="Courier New" w:cs="Courier New" w:eastAsia="Courier New" w:hAnsi="Courier New"/>
                <w:color w:val="00FF88"/>
                <w:sz w:val="19"/>
                <w:szCs w:val="19"/>
              </w:rPr>
              <w:t xml:space="preserve">  → Envoie les fonds via l'API MTN Mobile Money ou Moov Money</w:t>
            </w:r>
          </w:p>
          <w:p>
            <w:pPr>
              <w:spacing w:after="40" w:before="40"/>
            </w:pPr>
            <w:r>
              <w:rPr>
                <w:rFonts w:ascii="Courier New" w:cs="Courier New" w:eastAsia="Courier New" w:hAnsi="Courier New"/>
                <w:color w:val="00FF88"/>
                <w:sz w:val="19"/>
                <w:szCs w:val="19"/>
              </w:rPr>
              <w:t xml:space="preserve">La famille reçoit l'argent directement sur son téléphone.</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2.3 Identification par numéro de téléphone</w:t>
      </w:r>
    </w:p>
    <w:p>
      <w:pPr>
        <w:spacing w:after="100" w:before="100"/>
      </w:pPr>
      <w:r>
        <w:rPr>
          <w:rFonts w:ascii="Arial" w:cs="Arial" w:eastAsia="Arial" w:hAnsi="Arial"/>
          <w:sz w:val="22"/>
          <w:szCs w:val="22"/>
        </w:rPr>
        <w:t xml:space="preserve">Sur les plateformes blockchain traditionnelles comme Binance, les utilisateurs doivent manipuler des adresses wallet complexes du type : 0x742d35Cc6634C0532925a3b844Bc454e4438f44e. Ce format est totalement inadapté au public cible de DiasporaConnect, notamment les familles en zones rurales au Bénin.</w:t>
      </w:r>
    </w:p>
    <w:p>
      <w:pPr>
        <w:spacing w:after="100" w:before="100"/>
      </w:pPr>
      <w:r>
        <w:t xml:space="preserve"/>
      </w:r>
    </w:p>
    <w:p>
      <w:pPr>
        <w:spacing w:after="100" w:before="100"/>
      </w:pPr>
      <w:r>
        <w:rPr>
          <w:rFonts w:ascii="Arial" w:cs="Arial" w:eastAsia="Arial" w:hAnsi="Arial"/>
          <w:sz w:val="22"/>
          <w:szCs w:val="22"/>
        </w:rPr>
        <w:t xml:space="preserve">Notre système abstrait complètement cette complexité. L'expéditeur entre simplement le numéro de téléphone de son proche. Notre backend effectue automatiquement la correspondance entre ce numéro et l'adresse wallet associée dans notre base de données.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9"/>
                <w:szCs w:val="19"/>
              </w:rPr>
              <w:t xml:space="preserve">L'expéditeur entre : +22960000000</w:t>
            </w:r>
          </w:p>
          <w:p>
            <w:pPr>
              <w:spacing w:after="40" w:before="40"/>
            </w:pPr>
            <w:r>
              <w:rPr>
                <w:rFonts w:ascii="Courier New" w:cs="Courier New" w:eastAsia="Courier New" w:hAnsi="Courier New"/>
                <w:color w:val="00FF88"/>
                <w:sz w:val="19"/>
                <w:szCs w:val="19"/>
              </w:rPr>
              <w:t xml:space="preserve">Notre backend recherche en base de données :</w:t>
            </w:r>
          </w:p>
          <w:p>
            <w:pPr>
              <w:spacing w:after="40" w:before="40"/>
            </w:pPr>
            <w:r>
              <w:rPr>
                <w:rFonts w:ascii="Courier New" w:cs="Courier New" w:eastAsia="Courier New" w:hAnsi="Courier New"/>
                <w:color w:val="00FF88"/>
                <w:sz w:val="19"/>
                <w:szCs w:val="19"/>
              </w:rPr>
              <w:t xml:space="preserve">  +22960000000 → 0x742d35Cc6634C0532925a3b844Bc454e4438f44e</w:t>
            </w:r>
          </w:p>
          <w:p>
            <w:pPr>
              <w:spacing w:after="40" w:before="40"/>
            </w:pPr>
            <w:r>
              <w:rPr>
                <w:rFonts w:ascii="Courier New" w:cs="Courier New" w:eastAsia="Courier New" w:hAnsi="Courier New"/>
                <w:color w:val="00FF88"/>
                <w:sz w:val="19"/>
                <w:szCs w:val="19"/>
              </w:rPr>
              <w:t xml:space="preserve">Le smart contract envoie à l'adresse wallet.</w:t>
            </w:r>
          </w:p>
          <w:p>
            <w:pPr>
              <w:spacing w:after="40" w:before="40"/>
            </w:pPr>
            <w:r>
              <w:rPr>
                <w:rFonts w:ascii="Courier New" w:cs="Courier New" w:eastAsia="Courier New" w:hAnsi="Courier New"/>
                <w:color w:val="00FF88"/>
                <w:sz w:val="19"/>
                <w:szCs w:val="19"/>
              </w:rPr>
              <w:t xml:space="preserve">La complexité blockchain reste totalement invisible pour l'utilisateur.</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2.4 Sécurité des fonds — Trois niveaux de protection</w:t>
      </w:r>
    </w:p>
    <w:p>
      <w:pPr>
        <w:spacing w:after="100" w:before="100"/>
      </w:pPr>
      <w:r>
        <w:t xml:space="preserve"/>
      </w:r>
    </w:p>
    <w:p>
      <w:pPr>
        <w:spacing w:after="120" w:before="200"/>
      </w:pPr>
      <w:r>
        <w:rPr>
          <w:rFonts w:ascii="Arial" w:cs="Arial" w:eastAsia="Arial" w:hAnsi="Arial"/>
          <w:b/>
          <w:bCs/>
          <w:color w:val="333333"/>
          <w:sz w:val="24"/>
          <w:szCs w:val="24"/>
        </w:rPr>
        <w:t xml:space="preserve">Niveau 1 — Immuabilité du smart contract</w:t>
      </w:r>
    </w:p>
    <w:p>
      <w:pPr>
        <w:spacing w:after="100" w:before="100"/>
      </w:pPr>
      <w:r>
        <w:rPr>
          <w:rFonts w:ascii="Arial" w:cs="Arial" w:eastAsia="Arial" w:hAnsi="Arial"/>
          <w:sz w:val="22"/>
          <w:szCs w:val="22"/>
        </w:rPr>
        <w:t xml:space="preserve">Une fois déployé sur Polygon, le code du smart contract ne peut plus être modifié par personne. Ni notre équipe de développement, ni un acteur malveillant ne peut altérer les règles de transfert. C'est une garantie technique absolue qu'aucune banque traditionnelle ne peut offrir.</w:t>
      </w:r>
    </w:p>
    <w:p>
      <w:pPr>
        <w:spacing w:after="100" w:before="100"/>
      </w:pPr>
      <w:r>
        <w:t xml:space="preserve"/>
      </w:r>
    </w:p>
    <w:p>
      <w:pPr>
        <w:spacing w:after="120" w:before="200"/>
      </w:pPr>
      <w:r>
        <w:rPr>
          <w:rFonts w:ascii="Arial" w:cs="Arial" w:eastAsia="Arial" w:hAnsi="Arial"/>
          <w:b/>
          <w:bCs/>
          <w:color w:val="333333"/>
          <w:sz w:val="24"/>
          <w:szCs w:val="24"/>
        </w:rPr>
        <w:t xml:space="preserve">Niveau 2 — Indépendance des fonds</w:t>
      </w:r>
    </w:p>
    <w:p>
      <w:pPr>
        <w:spacing w:after="100" w:before="100"/>
      </w:pPr>
      <w:r>
        <w:rPr>
          <w:rFonts w:ascii="Arial" w:cs="Arial" w:eastAsia="Arial" w:hAnsi="Arial"/>
          <w:sz w:val="22"/>
          <w:szCs w:val="22"/>
        </w:rPr>
        <w:t xml:space="preserve">Les fonds sont stockés directement sur la blockchain Polygon, et non sur nos serveurs. Si notre infrastructure technique tombe en panne, les fonds restent intacts et accessibles sur la blockchain. Aucune panne de notre part ne peut entraîner une perte d'argent pour nos utilisateurs.</w:t>
      </w:r>
    </w:p>
    <w:p>
      <w:pPr>
        <w:spacing w:after="100" w:before="100"/>
      </w:pPr>
      <w:r>
        <w:t xml:space="preserve"/>
      </w:r>
    </w:p>
    <w:p>
      <w:pPr>
        <w:spacing w:after="120" w:before="200"/>
      </w:pPr>
      <w:r>
        <w:rPr>
          <w:rFonts w:ascii="Arial" w:cs="Arial" w:eastAsia="Arial" w:hAnsi="Arial"/>
          <w:b/>
          <w:bCs/>
          <w:color w:val="333333"/>
          <w:sz w:val="24"/>
          <w:szCs w:val="24"/>
        </w:rPr>
        <w:t xml:space="preserve">Niveau 3 — Sécurité de l'accès utilisateur</w:t>
      </w:r>
    </w:p>
    <w:p>
      <w:pPr>
        <w:spacing w:after="100" w:before="100"/>
      </w:pPr>
      <w:r>
        <w:rPr>
          <w:rFonts w:ascii="Arial" w:cs="Arial" w:eastAsia="Arial" w:hAnsi="Arial"/>
          <w:sz w:val="22"/>
          <w:szCs w:val="22"/>
        </w:rPr>
        <w:t xml:space="preserve">Pour accéder aux fonds et effectuer un retrait, le destinataire doit franchir plusieurs niveaux de vérification :</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Mot de passe sécurisé à la connexion</w:t>
      </w:r>
    </w:p>
    <w:p>
      <w:pPr>
        <w:pStyle w:val="ListParagraph"/>
        <w:numPr>
          <w:ilvl w:val="0"/>
          <w:numId w:val="2"/>
        </w:numPr>
        <w:spacing w:after="60" w:before="60"/>
      </w:pPr>
      <w:r>
        <w:rPr>
          <w:rFonts w:ascii="Arial" w:cs="Arial" w:eastAsia="Arial" w:hAnsi="Arial"/>
          <w:sz w:val="22"/>
          <w:szCs w:val="22"/>
        </w:rPr>
        <w:t xml:space="preserve">Double authentification (2FA) par code OTP envoyé par SMS</w:t>
      </w:r>
    </w:p>
    <w:p>
      <w:pPr>
        <w:pStyle w:val="ListParagraph"/>
        <w:numPr>
          <w:ilvl w:val="0"/>
          <w:numId w:val="2"/>
        </w:numPr>
        <w:spacing w:after="60" w:before="60"/>
      </w:pPr>
      <w:r>
        <w:rPr>
          <w:rFonts w:ascii="Arial" w:cs="Arial" w:eastAsia="Arial" w:hAnsi="Arial"/>
          <w:sz w:val="22"/>
          <w:szCs w:val="22"/>
        </w:rPr>
        <w:t xml:space="preserve">Authentification biométrique (empreinte digitale ou Face ID) sur application mobile</w:t>
      </w:r>
    </w:p>
    <w:p>
      <w:pPr>
        <w:spacing w:after="100" w:before="100"/>
      </w:pPr>
      <w:r>
        <w:t xml:space="preserve"/>
      </w:r>
    </w:p>
    <w:p>
      <w:pPr>
        <w:spacing w:after="100" w:before="100"/>
      </w:pPr>
      <w:r>
        <w:rPr>
          <w:rFonts w:ascii="Arial" w:cs="Arial" w:eastAsia="Arial" w:hAnsi="Arial"/>
          <w:sz w:val="22"/>
          <w:szCs w:val="22"/>
        </w:rPr>
        <w:t xml:space="preserve">Même en cas de vol du téléphone, aucun retrait n'est possible sans le code OTP reçu sur le numéro enregistré.</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2.5 Conformité réglementaire</w:t>
      </w:r>
    </w:p>
    <w:p>
      <w:pPr>
        <w:spacing w:after="100" w:before="100"/>
      </w:pPr>
      <w:r>
        <w:rPr>
          <w:rFonts w:ascii="Arial" w:cs="Arial" w:eastAsia="Arial" w:hAnsi="Arial"/>
          <w:sz w:val="22"/>
          <w:szCs w:val="22"/>
        </w:rPr>
        <w:t xml:space="preserve">DiasporaConnect manipule de l'argent réel entre plusieurs pays. Deux mécanismes de conformité ont été intégrés dans notre architecture :</w:t>
      </w:r>
    </w:p>
    <w:p>
      <w:pPr>
        <w:spacing w:after="100" w:before="100"/>
      </w:pPr>
      <w:r>
        <w:t xml:space="preserve"/>
      </w:r>
    </w:p>
    <w:p>
      <w:pPr>
        <w:spacing w:after="120" w:before="200"/>
      </w:pPr>
      <w:r>
        <w:rPr>
          <w:rFonts w:ascii="Arial" w:cs="Arial" w:eastAsia="Arial" w:hAnsi="Arial"/>
          <w:b/>
          <w:bCs/>
          <w:color w:val="333333"/>
          <w:sz w:val="24"/>
          <w:szCs w:val="24"/>
        </w:rPr>
        <w:t xml:space="preserve">KYC — Know Your Customer</w:t>
      </w:r>
    </w:p>
    <w:p>
      <w:pPr>
        <w:spacing w:after="100" w:before="100"/>
      </w:pPr>
      <w:r>
        <w:rPr>
          <w:rFonts w:ascii="Arial" w:cs="Arial" w:eastAsia="Arial" w:hAnsi="Arial"/>
          <w:sz w:val="22"/>
          <w:szCs w:val="22"/>
        </w:rPr>
        <w:t xml:space="preserve">Avant tout transfert, chaque utilisateur doit vérifier son identité en fournissant une pièce d'identité officielle et un selfie de confirmation. Notre système compare automatiquement les deux documents pour valider l'identité.</w:t>
      </w:r>
    </w:p>
    <w:p>
      <w:pPr>
        <w:spacing w:after="100" w:before="100"/>
      </w:pPr>
      <w:r>
        <w:t xml:space="preserve"/>
      </w:r>
    </w:p>
    <w:p>
      <w:pPr>
        <w:spacing w:after="120" w:before="200"/>
      </w:pPr>
      <w:r>
        <w:rPr>
          <w:rFonts w:ascii="Arial" w:cs="Arial" w:eastAsia="Arial" w:hAnsi="Arial"/>
          <w:b/>
          <w:bCs/>
          <w:color w:val="333333"/>
          <w:sz w:val="24"/>
          <w:szCs w:val="24"/>
        </w:rPr>
        <w:t xml:space="preserve">AML — Anti Money Laundering</w:t>
      </w:r>
    </w:p>
    <w:p>
      <w:pPr>
        <w:spacing w:after="100" w:before="100"/>
      </w:pPr>
      <w:r>
        <w:rPr>
          <w:rFonts w:ascii="Arial" w:cs="Arial" w:eastAsia="Arial" w:hAnsi="Arial"/>
          <w:sz w:val="22"/>
          <w:szCs w:val="22"/>
        </w:rPr>
        <w:t xml:space="preserve">Notre système surveille automatiquement les transactions suspectes : montants anormalement élevés, fréquence inhabituelle, destinations à risque. Toute transaction suspecte est automatiquement bloquée et signalée.</w:t>
      </w:r>
    </w:p>
    <w:p>
      <w:pPr>
        <w:spacing w:after="100" w:before="100"/>
      </w:pPr>
      <w:r>
        <w:t xml:space="preserve"/>
      </w:r>
    </w:p>
    <w:p>
      <w:r>
        <w:br w:type="page"/>
      </w:r>
    </w:p>
    <w:p>
      <w:pPr>
        <w:pStyle w:val="Heading1"/>
        <w:spacing w:after="200" w:before="400"/>
      </w:pPr>
      <w:r>
        <w:rPr>
          <w:rFonts w:ascii="Arial" w:cs="Arial" w:eastAsia="Arial" w:hAnsi="Arial"/>
          <w:b/>
          <w:bCs/>
          <w:color w:val="1A56A0"/>
          <w:sz w:val="32"/>
          <w:szCs w:val="32"/>
        </w:rPr>
        <w:t xml:space="preserve">PARTIE 3 — Architecture APIs &amp; Flux de Données</w:t>
      </w:r>
    </w:p>
    <w:p>
      <w:pPr>
        <w:pBdr>
          <w:bottom w:val="single" w:color="2E75B6" w:sz="6" w:space="1"/>
        </w:pBdr>
        <w:spacing w:after="200" w:before="200"/>
      </w:pPr>
      <w:r>
        <w:t xml:space="preserve"/>
      </w:r>
    </w:p>
    <w:p>
      <w:pPr>
        <w:pStyle w:val="Heading2"/>
        <w:spacing w:after="160" w:before="300"/>
      </w:pPr>
      <w:r>
        <w:rPr>
          <w:rFonts w:ascii="Arial" w:cs="Arial" w:eastAsia="Arial" w:hAnsi="Arial"/>
          <w:b/>
          <w:bCs/>
          <w:color w:val="2E75B6"/>
          <w:sz w:val="26"/>
          <w:szCs w:val="26"/>
        </w:rPr>
        <w:t xml:space="preserve">3.1 Vue d'ensemble de l'architecture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9"/>
                <w:szCs w:val="19"/>
              </w:rPr>
              <w:t xml:space="preserve">┌─────────────────────────────────────┐</w:t>
            </w:r>
          </w:p>
          <w:p>
            <w:pPr>
              <w:spacing w:after="40" w:before="40"/>
            </w:pPr>
            <w:r>
              <w:rPr>
                <w:rFonts w:ascii="Courier New" w:cs="Courier New" w:eastAsia="Courier New" w:hAnsi="Courier New"/>
                <w:color w:val="00FF88"/>
                <w:sz w:val="19"/>
                <w:szCs w:val="19"/>
              </w:rPr>
              <w:t xml:space="preserve">│         Application Mobile/Web       │</w:t>
            </w:r>
          </w:p>
          <w:p>
            <w:pPr>
              <w:spacing w:after="40" w:before="40"/>
            </w:pPr>
            <w:r>
              <w:rPr>
                <w:rFonts w:ascii="Courier New" w:cs="Courier New" w:eastAsia="Courier New" w:hAnsi="Courier New"/>
                <w:color w:val="00FF88"/>
                <w:sz w:val="19"/>
                <w:szCs w:val="19"/>
              </w:rPr>
              <w:t xml:space="preserve">│    (Interface Expéditeur/Destinataire)│</w:t>
            </w:r>
          </w:p>
          <w:p>
            <w:pPr>
              <w:spacing w:after="40" w:before="40"/>
            </w:pPr>
            <w:r>
              <w:rPr>
                <w:rFonts w:ascii="Courier New" w:cs="Courier New" w:eastAsia="Courier New" w:hAnsi="Courier New"/>
                <w:color w:val="00FF88"/>
                <w:sz w:val="19"/>
                <w:szCs w:val="19"/>
              </w:rPr>
              <w:t xml:space="preserve">└──────────────────┬──────────────────┘</w:t>
            </w:r>
          </w:p>
          <w:p>
            <w:pPr>
              <w:spacing w:after="40" w:before="40"/>
            </w:pPr>
            <w:r>
              <w:rPr>
                <w:rFonts w:ascii="Courier New" w:cs="Courier New" w:eastAsia="Courier New" w:hAnsi="Courier New"/>
                <w:color w:val="00FF88"/>
                <w:sz w:val="19"/>
                <w:szCs w:val="19"/>
              </w:rPr>
              <w:t xml:space="preserve">                   │ HTTPS</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w:t>
            </w:r>
          </w:p>
          <w:p>
            <w:pPr>
              <w:spacing w:after="40" w:before="40"/>
            </w:pPr>
            <w:r>
              <w:rPr>
                <w:rFonts w:ascii="Courier New" w:cs="Courier New" w:eastAsia="Courier New" w:hAnsi="Courier New"/>
                <w:color w:val="00FF88"/>
                <w:sz w:val="19"/>
                <w:szCs w:val="19"/>
              </w:rPr>
              <w:t xml:space="preserve">│         Serveur Node.js + Express    │</w:t>
            </w:r>
          </w:p>
          <w:p>
            <w:pPr>
              <w:spacing w:after="40" w:before="40"/>
            </w:pPr>
            <w:r>
              <w:rPr>
                <w:rFonts w:ascii="Courier New" w:cs="Courier New" w:eastAsia="Courier New" w:hAnsi="Courier New"/>
                <w:color w:val="00FF88"/>
                <w:sz w:val="19"/>
                <w:szCs w:val="19"/>
              </w:rPr>
              <w:t xml:space="preserve">│              (Backend API)            │</w:t>
            </w:r>
          </w:p>
          <w:p>
            <w:pPr>
              <w:spacing w:after="40" w:before="40"/>
            </w:pPr>
            <w:r>
              <w:rPr>
                <w:rFonts w:ascii="Courier New" w:cs="Courier New" w:eastAsia="Courier New" w:hAnsi="Courier New"/>
                <w:color w:val="00FF88"/>
                <w:sz w:val="19"/>
                <w:szCs w:val="19"/>
              </w:rPr>
              <w:t xml:space="preserve">└───────┬─────────────────┬───────────┘</w:t>
            </w:r>
          </w:p>
          <w:p>
            <w:pPr>
              <w:spacing w:after="40" w:before="40"/>
            </w:pPr>
            <w:r>
              <w:rPr>
                <w:rFonts w:ascii="Courier New" w:cs="Courier New" w:eastAsia="Courier New" w:hAnsi="Courier New"/>
                <w:color w:val="00FF88"/>
                <w:sz w:val="19"/>
                <w:szCs w:val="19"/>
              </w:rPr>
              <w:t xml:space="preserve">        │                 │</w:t>
            </w:r>
          </w:p>
          <w:p>
            <w:pPr>
              <w:spacing w:after="40" w:before="40"/>
            </w:pPr>
            <w:r>
              <w:rPr>
                <w:rFonts w:ascii="Courier New" w:cs="Courier New" w:eastAsia="Courier New" w:hAnsi="Courier New"/>
                <w:color w:val="00FF88"/>
                <w:sz w:val="19"/>
                <w:szCs w:val="19"/>
              </w:rPr>
              <w:t xml:space="preserve">        ▼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CoinGecko   │   │   Ethers.js  │</w:t>
            </w:r>
          </w:p>
          <w:p>
            <w:pPr>
              <w:spacing w:after="40" w:before="40"/>
            </w:pPr>
            <w:r>
              <w:rPr>
                <w:rFonts w:ascii="Courier New" w:cs="Courier New" w:eastAsia="Courier New" w:hAnsi="Courier New"/>
                <w:color w:val="00FF88"/>
                <w:sz w:val="19"/>
                <w:szCs w:val="19"/>
              </w:rPr>
              <w:t xml:space="preserve">│  (Taux EUR/  │   │  (Connexion  │</w:t>
            </w:r>
          </w:p>
          <w:p>
            <w:pPr>
              <w:spacing w:after="40" w:before="40"/>
            </w:pPr>
            <w:r>
              <w:rPr>
                <w:rFonts w:ascii="Courier New" w:cs="Courier New" w:eastAsia="Courier New" w:hAnsi="Courier New"/>
                <w:color w:val="00FF88"/>
                <w:sz w:val="19"/>
                <w:szCs w:val="19"/>
              </w:rPr>
              <w:t xml:space="preserve">│   USDC/CFA)  │   │  Blockchain)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  Smart Contract Polygon │</w:t>
            </w:r>
          </w:p>
          <w:p>
            <w:pPr>
              <w:spacing w:after="40" w:before="40"/>
            </w:pPr>
            <w:r>
              <w:rPr>
                <w:rFonts w:ascii="Courier New" w:cs="Courier New" w:eastAsia="Courier New" w:hAnsi="Courier New"/>
                <w:color w:val="00FF88"/>
                <w:sz w:val="19"/>
                <w:szCs w:val="19"/>
              </w:rPr>
              <w:t xml:space="preserve">             │  (Blocage &amp; Libération)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   Wallet Destinataire  │</w:t>
            </w:r>
          </w:p>
          <w:p>
            <w:pPr>
              <w:spacing w:after="40" w:before="40"/>
            </w:pPr>
            <w:r>
              <w:rPr>
                <w:rFonts w:ascii="Courier New" w:cs="Courier New" w:eastAsia="Courier New" w:hAnsi="Courier New"/>
                <w:color w:val="00FF88"/>
                <w:sz w:val="19"/>
                <w:szCs w:val="19"/>
              </w:rPr>
              <w:t xml:space="preserve">             │      (Blockchain)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w:t>
            </w:r>
          </w:p>
          <w:p>
            <w:pPr>
              <w:spacing w:after="40" w:before="40"/>
            </w:pPr>
            <w:r>
              <w:rPr>
                <w:rFonts w:ascii="Courier New" w:cs="Courier New" w:eastAsia="Courier New" w:hAnsi="Courier New"/>
                <w:color w:val="00FF88"/>
                <w:sz w:val="19"/>
                <w:szCs w:val="19"/>
              </w:rPr>
              <w:t xml:space="preserve">             │  API MTN / Moov Money  │</w:t>
            </w:r>
          </w:p>
          <w:p>
            <w:pPr>
              <w:spacing w:after="40" w:before="40"/>
            </w:pPr>
            <w:r>
              <w:rPr>
                <w:rFonts w:ascii="Courier New" w:cs="Courier New" w:eastAsia="Courier New" w:hAnsi="Courier New"/>
                <w:color w:val="00FF88"/>
                <w:sz w:val="19"/>
                <w:szCs w:val="19"/>
              </w:rPr>
              <w:t xml:space="preserve">             │  (Retrait en CFA)      │</w:t>
            </w:r>
          </w:p>
          <w:p>
            <w:pPr>
              <w:spacing w:after="40" w:before="40"/>
            </w:pPr>
            <w:r>
              <w:rPr>
                <w:rFonts w:ascii="Courier New" w:cs="Courier New" w:eastAsia="Courier New" w:hAnsi="Courier New"/>
                <w:color w:val="00FF88"/>
                <w:sz w:val="19"/>
                <w:szCs w:val="19"/>
              </w:rPr>
              <w:t xml:space="preserve">             └────────────────────────┘</w:t>
            </w:r>
          </w:p>
        </w:tc>
      </w:tr>
    </w:tbl>
    <w:p>
      <w:pPr>
        <w:spacing w:after="100" w:before="100"/>
      </w:pPr>
      <w:r>
        <w:t xml:space="preserve"/>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3.2 Les 5 APIs du système</w:t>
      </w:r>
    </w:p>
    <w:p>
      <w:pPr>
        <w:spacing w:after="100" w:before="100"/>
      </w:pPr>
      <w:r>
        <w:t xml:space="preserve"/>
      </w:r>
    </w:p>
    <w:p>
      <w:pPr>
        <w:spacing w:after="120" w:before="200"/>
      </w:pPr>
      <w:r>
        <w:rPr>
          <w:rFonts w:ascii="Arial" w:cs="Arial" w:eastAsia="Arial" w:hAnsi="Arial"/>
          <w:b/>
          <w:bCs/>
          <w:color w:val="333333"/>
          <w:sz w:val="24"/>
          <w:szCs w:val="24"/>
        </w:rPr>
        <w:t xml:space="preserve">API 1 —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Paramètre</w:t>
            </w:r>
          </w:p>
        </w:tc>
        <w:tc>
          <w:tcPr>
            <w:tcW w:type="dxa" w:w="702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Endpoint</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POST /api/auth/register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Rôle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Inscription et vérification d'identité (KYC + OTP SMS)</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Données envoyées</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nom, téléphone, opérateur mobile, photo pièce d'identité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Données reçues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Confirmation, wallet généré automatiquement</w:t>
            </w:r>
          </w:p>
        </w:tc>
      </w:tr>
    </w:tbl>
    <w:p>
      <w:pPr>
        <w:spacing w:after="100" w:before="100"/>
      </w:pPr>
      <w:r>
        <w:t xml:space="preserve"/>
      </w:r>
    </w:p>
    <w:p>
      <w:pPr>
        <w:spacing w:after="100" w:before="100"/>
      </w:pPr>
      <w:r>
        <w:t xml:space="preserve"/>
      </w:r>
    </w:p>
    <w:p>
      <w:pPr>
        <w:spacing w:after="120" w:before="200"/>
      </w:pPr>
      <w:r>
        <w:rPr>
          <w:rFonts w:ascii="Arial" w:cs="Arial" w:eastAsia="Arial" w:hAnsi="Arial"/>
          <w:b/>
          <w:bCs/>
          <w:color w:val="333333"/>
          <w:sz w:val="24"/>
          <w:szCs w:val="24"/>
        </w:rPr>
        <w:t xml:space="preserve">API 2 — Transfert de fonds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Paramètre</w:t>
            </w:r>
          </w:p>
        </w:tc>
        <w:tc>
          <w:tcPr>
            <w:tcW w:type="dxa" w:w="702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Endpoint</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POST /api/transfer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Rôle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Initier un transfert vers un destinataire</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Données envoyées</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montant, devise (EUR/USD), téléphone destinataire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Traitement backend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Conversion EUR → USDC, appel smart contract Polygon</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Données reçues</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ID transaction, hash blockchain, montant converti</w:t>
            </w:r>
          </w:p>
        </w:tc>
      </w:tr>
    </w:tbl>
    <w:p>
      <w:pPr>
        <w:spacing w:after="100" w:before="100"/>
      </w:pPr>
      <w:r>
        <w:t xml:space="preserve"/>
      </w:r>
    </w:p>
    <w:p>
      <w:pPr>
        <w:spacing w:after="100" w:before="100"/>
      </w:pPr>
      <w:r>
        <w:t xml:space="preserve"/>
      </w:r>
    </w:p>
    <w:p>
      <w:pPr>
        <w:spacing w:after="120" w:before="200"/>
      </w:pPr>
      <w:r>
        <w:rPr>
          <w:rFonts w:ascii="Arial" w:cs="Arial" w:eastAsia="Arial" w:hAnsi="Arial"/>
          <w:b/>
          <w:bCs/>
          <w:color w:val="333333"/>
          <w:sz w:val="24"/>
          <w:szCs w:val="24"/>
        </w:rPr>
        <w:t xml:space="preserve">API 3 — Taux de change en temps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Paramètre</w:t>
            </w:r>
          </w:p>
        </w:tc>
        <w:tc>
          <w:tcPr>
            <w:tcW w:type="dxa" w:w="702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Endpoint</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GET /api/rates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Rôle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Récupérer les taux EUR/USDC et USDC/CFA en temps réel</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Source externe</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CoinGecko API (gratuite)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Données reçues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Taux actuels + comparaison des frais blockchain vs services traditionnels</w:t>
            </w:r>
          </w:p>
        </w:tc>
      </w:tr>
    </w:tbl>
    <w:p>
      <w:pPr>
        <w:spacing w:after="100" w:before="100"/>
      </w:pPr>
      <w:r>
        <w:t xml:space="preserve"/>
      </w:r>
    </w:p>
    <w:p>
      <w:pPr>
        <w:spacing w:after="100" w:before="100"/>
      </w:pPr>
      <w:r>
        <w:t xml:space="preserve"/>
      </w:r>
    </w:p>
    <w:p>
      <w:pPr>
        <w:spacing w:after="120" w:before="200"/>
      </w:pPr>
      <w:r>
        <w:rPr>
          <w:rFonts w:ascii="Arial" w:cs="Arial" w:eastAsia="Arial" w:hAnsi="Arial"/>
          <w:b/>
          <w:bCs/>
          <w:color w:val="333333"/>
          <w:sz w:val="24"/>
          <w:szCs w:val="24"/>
        </w:rPr>
        <w:t xml:space="preserve">API 4 — Historique des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Paramètre</w:t>
            </w:r>
          </w:p>
        </w:tc>
        <w:tc>
          <w:tcPr>
            <w:tcW w:type="dxa" w:w="702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Endpoint</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GET /api/transactions/:userId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Rôle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Récupérer l'historique complet des transferts d'un utilisateur</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Source</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Interrogation directe de la blockchain Polygon via Ethers.js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Données reçues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Liste des transactions avec montants, dates, statuts et hash blockchain</w:t>
            </w:r>
          </w:p>
        </w:tc>
      </w:tr>
    </w:tbl>
    <w:p>
      <w:pPr>
        <w:spacing w:after="100" w:before="100"/>
      </w:pPr>
      <w:r>
        <w:t xml:space="preserve"/>
      </w:r>
    </w:p>
    <w:p>
      <w:pPr>
        <w:spacing w:after="100" w:before="100"/>
      </w:pPr>
      <w:r>
        <w:t xml:space="preserve"/>
      </w:r>
    </w:p>
    <w:p>
      <w:pPr>
        <w:spacing w:after="120" w:before="200"/>
      </w:pPr>
      <w:r>
        <w:rPr>
          <w:rFonts w:ascii="Arial" w:cs="Arial" w:eastAsia="Arial" w:hAnsi="Arial"/>
          <w:b/>
          <w:bCs/>
          <w:color w:val="333333"/>
          <w:sz w:val="24"/>
          <w:szCs w:val="24"/>
        </w:rPr>
        <w:t xml:space="preserve">API 5 — Retrait Mobile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Paramètre</w:t>
            </w:r>
          </w:p>
        </w:tc>
        <w:tc>
          <w:tcPr>
            <w:tcW w:type="dxa" w:w="702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Endpoint</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POST /api/withdraw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Rôle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Convertir les USDC en CFA et envoyer sur Mobile Money</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Données envoyées</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montant USDC, téléphone, opérateur (MTN ou Moov)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Traitement backend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Conversion USDC → CFA au taux du marché, appel API Mobile Money</w:t>
            </w:r>
          </w:p>
        </w:tc>
      </w:tr>
      <w:tr>
        <w:tc>
          <w:tcPr>
            <w:tcW w:type="dxa" w:w="234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Données reçues</w:t>
            </w:r>
          </w:p>
        </w:tc>
        <w:tc>
          <w:tcPr>
            <w:tcW w:type="dxa" w:w="70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Confirmation de réception, numéro de transaction opérateur</w:t>
            </w:r>
          </w:p>
        </w:tc>
      </w:tr>
    </w:tbl>
    <w:p>
      <w:pPr>
        <w:spacing w:after="100" w:before="100"/>
      </w:pPr>
      <w:r>
        <w:t xml:space="preserve"/>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3.3 Avantage concurrentiel face aux services existants</w:t>
      </w:r>
    </w:p>
    <w:p>
      <w:pPr>
        <w:spacing w:after="100" w:before="10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tblGrid>
      <w:tr>
        <w:trPr>
          <w:tblHeader/>
        </w:trPr>
        <w:tc>
          <w:tcPr>
            <w:tcW w:type="dxa" w:w="312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Critère</w:t>
            </w:r>
          </w:p>
        </w:tc>
        <w:tc>
          <w:tcPr>
            <w:tcW w:type="dxa" w:w="156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Western Union</w:t>
            </w:r>
          </w:p>
        </w:tc>
        <w:tc>
          <w:tcPr>
            <w:tcW w:type="dxa" w:w="156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Wave</w:t>
            </w:r>
          </w:p>
        </w:tc>
        <w:tc>
          <w:tcPr>
            <w:tcW w:type="dxa" w:w="1560"/>
            <w:tcBorders>
              <w:top w:val="single" w:color="1A56A0" w:sz="1"/>
              <w:left w:val="single" w:color="1A56A0" w:sz="1"/>
              <w:bottom w:val="single" w:color="1A56A0" w:sz="1"/>
              <w:right w:val="single" w:color="1A56A0" w:sz="1"/>
            </w:tcBorders>
            <w:shd w:fill="1A56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DiasporaConnect ✅</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Frais de transfert</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7% à 15%</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1% à 3%</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&lt; 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Délai de réception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Minutes à jours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Quelques heures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2 à 5 secondes</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Type de système</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Centralisé</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Centralisé</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Décentralisé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Transparence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 Opaque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 Opaque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 Blockchain publique</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Blocage de compte possible</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 Oui</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 Oui</w:t>
            </w:r>
          </w:p>
        </w:tc>
        <w:tc>
          <w:tcPr>
            <w:tcW w:type="dxa" w:w="1560"/>
            <w:tcBorders>
              <w:top w:val="single" w:color="CCCCCC" w:sz="1"/>
              <w:left w:val="single" w:color="CCCCCC" w:sz="1"/>
              <w:bottom w:val="single" w:color="CCCCCC" w:sz="1"/>
              <w:right w:val="single" w:color="CCCCCC" w:sz="1"/>
            </w:tcBorders>
            <w:shd w:fill="F0F5FB" w:val="clear"/>
            <w:tcMar>
              <w:top w:type="dxa" w:w="80"/>
              <w:left w:type="dxa" w:w="150"/>
              <w:bottom w:type="dxa" w:w="80"/>
              <w:right w:type="dxa" w:w="150"/>
            </w:tcMar>
          </w:tcPr>
          <w:p>
            <w:pPr>
              <w:jc w:val="center"/>
            </w:pPr>
            <w:r>
              <w:rPr>
                <w:rFonts w:ascii="Arial" w:cs="Arial" w:eastAsia="Arial" w:hAnsi="Arial"/>
                <w:sz w:val="21"/>
                <w:szCs w:val="21"/>
              </w:rPr>
              <w:t xml:space="preserve">❌ Impossible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Contrôle des fonds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Par la société</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Par la société</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1"/>
                <w:szCs w:val="21"/>
              </w:rPr>
              <w:t xml:space="preserve">Smart contract autonome</w:t>
            </w:r>
          </w:p>
        </w:tc>
      </w:tr>
    </w:tbl>
    <w:p>
      <w:pPr>
        <w:spacing w:after="100" w:before="100"/>
      </w:pPr>
      <w:r>
        <w:t xml:space="preserve"/>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3.4 Argument différenciateur clé</w:t>
      </w:r>
    </w:p>
    <w:p>
      <w:pPr>
        <w:pBdr>
          <w:left w:val="single" w:color="1A56A0" w:sz="12" w:space="20"/>
        </w:pBdr>
        <w:spacing w:after="200" w:before="200"/>
        <w:ind w:left="400"/>
      </w:pPr>
      <w:r>
        <w:rPr>
          <w:rFonts w:ascii="Arial" w:cs="Arial" w:eastAsia="Arial" w:hAnsi="Arial"/>
          <w:i/>
          <w:iCs/>
          <w:color w:val="1A56A0"/>
          <w:sz w:val="22"/>
          <w:szCs w:val="22"/>
        </w:rPr>
        <w:t xml:space="preserve">Wave et WorldRemit ont fait de bons progrès sur les frais. Mais ce sont des entreprises privées qui contrôlent votre argent et peuvent bloquer votre compte sans préavis. DiasporaConnect apporte trois garanties qu'aucun service traditionnel ne peut offrir : des frais inférieurs à 0,1% grâce à la blockchain, une transparence totale où chaque transaction est vérifiable publiquement, et une décentralisation complète — personne, pas même notre équipe, ne peut bloquer ou retenir vos fonds.</w:t>
      </w:r>
    </w:p>
    <w:p>
      <w:pPr>
        <w:spacing w:after="100" w:before="100"/>
      </w:pPr>
      <w:r>
        <w:t xml:space="preserve"/>
      </w:r>
    </w:p>
    <w:p>
      <w:pPr>
        <w:pBdr>
          <w:bottom w:val="single" w:color="2E75B6" w:sz="6" w:space="1"/>
        </w:pBdr>
        <w:spacing w:after="200" w:before="200"/>
      </w:pPr>
      <w:r>
        <w:t xml:space="preserve"/>
      </w:r>
    </w:p>
    <w:p>
      <w:pPr>
        <w:spacing w:after="100" w:before="200"/>
        <w:jc w:val="center"/>
      </w:pPr>
      <w:r>
        <w:rPr>
          <w:rFonts w:ascii="Arial" w:cs="Arial" w:eastAsia="Arial" w:hAnsi="Arial"/>
          <w:color w:val="888888"/>
          <w:sz w:val="20"/>
          <w:szCs w:val="20"/>
        </w:rPr>
        <w:t xml:space="preserve">DiasporaConnect — MIABE Hackathon 2026</w:t>
      </w:r>
    </w:p>
    <w:p>
      <w:pPr>
        <w:spacing w:after="60" w:before="60"/>
        <w:jc w:val="center"/>
      </w:pPr>
      <w:r>
        <w:rPr>
          <w:rFonts w:ascii="Arial" w:cs="Arial" w:eastAsia="Arial" w:hAnsi="Arial"/>
          <w:color w:val="AAAAAA"/>
          <w:sz w:val="18"/>
          <w:szCs w:val="18"/>
        </w:rPr>
        <w:t xml:space="preserve">Document confidentiel — Phase 1 Présélection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A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2026-04-16T07:16:32.405Z</dcterms:created>
  <dcterms:modified xsi:type="dcterms:W3CDTF">2026-04-16T07:16:32.406Z</dcterms:modified>
</cp:coreProperties>
</file>

<file path=docProps/custom.xml><?xml version="1.0" encoding="utf-8"?>
<Properties xmlns="http://schemas.openxmlformats.org/officeDocument/2006/custom-properties" xmlns:vt="http://schemas.openxmlformats.org/officeDocument/2006/docPropsVTypes"/>
</file>