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280"/>
      </w:pPr>
      <w:r>
        <w:rPr>
          <w:rFonts w:ascii="Aptos" w:hAnsi="Aptos"/>
          <w:b/>
          <w:color w:val="0C6E72"/>
          <w:sz w:val="22"/>
        </w:rPr>
        <w:t>STUDY / PRESENTATION GUIDE</w:t>
      </w:r>
    </w:p>
    <w:p>
      <w:pPr>
        <w:spacing w:before="100" w:after="480"/>
      </w:pPr>
      <w:r>
        <w:rPr>
          <w:color w:val="425466"/>
          <w:sz w:val="28"/>
        </w:rPr>
        <w:t>A clear route through the robustness benchmark, its evidence, and its limits</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7324D"/>
          </w:tcPr>
          <w:p>
            <w:pPr>
              <w:spacing w:after="40"/>
            </w:pPr>
            <w:r/>
            <w:r>
              <w:rPr>
                <w:rFonts w:ascii="Aptos" w:hAnsi="Aptos"/>
                <w:b/>
                <w:color w:val="FFFFFF"/>
                <w:sz w:val="17"/>
              </w:rPr>
              <w:t>Project</w:t>
            </w:r>
          </w:p>
        </w:tc>
        <w:tc>
          <w:tcPr>
            <w:tcW w:type="dxa" w:w="6480"/>
            <w:vAlign w:val="center"/>
            <w:shd w:fill="17324D"/>
          </w:tcPr>
          <w:p>
            <w:pPr>
              <w:spacing w:after="40"/>
            </w:pPr>
            <w:r/>
            <w:r>
              <w:rPr>
                <w:rFonts w:ascii="Aptos" w:hAnsi="Aptos"/>
                <w:b/>
                <w:color w:val="FFFFFF"/>
                <w:sz w:val="17"/>
              </w:rPr>
              <w:t>Evidence baseline</w:t>
            </w:r>
          </w:p>
        </w:tc>
      </w:tr>
      <w:tr>
        <w:tc>
          <w:tcPr>
            <w:tcW w:type="dxa" w:w="2448"/>
            <w:vAlign w:val="center"/>
            <w:shd w:fill="F3F6F8"/>
          </w:tcPr>
          <w:p>
            <w:pPr>
              <w:spacing w:after="40"/>
            </w:pPr>
            <w:r/>
            <w:r>
              <w:rPr>
                <w:rFonts w:ascii="Aptos" w:hAnsi="Aptos"/>
                <w:b w:val="0"/>
                <w:color w:val="172033"/>
                <w:sz w:val="17"/>
              </w:rPr>
              <w:t>MSc Computer Science project</w:t>
            </w:r>
          </w:p>
        </w:tc>
        <w:tc>
          <w:tcPr>
            <w:tcW w:type="dxa" w:w="6480"/>
            <w:vAlign w:val="center"/>
            <w:shd w:fill="F3F6F8"/>
          </w:tcPr>
          <w:p>
            <w:pPr>
              <w:spacing w:after="40"/>
            </w:pPr>
            <w:r/>
            <w:r>
              <w:rPr>
                <w:rFonts w:ascii="Aptos" w:hAnsi="Aptos"/>
                <w:b w:val="0"/>
                <w:color w:val="172033"/>
                <w:sz w:val="17"/>
              </w:rPr>
              <w:t>Validated final1200 evidence set</w:t>
            </w:r>
          </w:p>
        </w:tc>
      </w:tr>
      <w:tr>
        <w:tc>
          <w:tcPr>
            <w:tcW w:type="dxa" w:w="2448"/>
            <w:vAlign w:val="center"/>
            <w:shd w:fill="FFFFFF"/>
          </w:tcPr>
          <w:p>
            <w:pPr>
              <w:spacing w:after="40"/>
            </w:pPr>
            <w:r/>
            <w:r>
              <w:rPr>
                <w:rFonts w:ascii="Aptos" w:hAnsi="Aptos"/>
                <w:b w:val="0"/>
                <w:color w:val="172033"/>
                <w:sz w:val="17"/>
              </w:rPr>
              <w:t>Student</w:t>
            </w:r>
          </w:p>
        </w:tc>
        <w:tc>
          <w:tcPr>
            <w:tcW w:type="dxa" w:w="6480"/>
            <w:vAlign w:val="center"/>
            <w:shd w:fill="FFFFFF"/>
          </w:tcPr>
          <w:p>
            <w:pPr>
              <w:spacing w:after="40"/>
            </w:pPr>
            <w:r/>
            <w:r>
              <w:rPr>
                <w:rFonts w:ascii="Aptos" w:hAnsi="Aptos"/>
                <w:b w:val="0"/>
                <w:color w:val="172033"/>
                <w:sz w:val="17"/>
              </w:rPr>
              <w:t>Opaleye Toluwalope Abayomi</w:t>
            </w:r>
          </w:p>
        </w:tc>
      </w:tr>
      <w:tr>
        <w:tc>
          <w:tcPr>
            <w:tcW w:type="dxa" w:w="2448"/>
            <w:vAlign w:val="center"/>
            <w:shd w:fill="F3F6F8"/>
          </w:tcPr>
          <w:p>
            <w:pPr>
              <w:spacing w:after="40"/>
            </w:pPr>
            <w:r/>
            <w:r>
              <w:rPr>
                <w:rFonts w:ascii="Aptos" w:hAnsi="Aptos"/>
                <w:b w:val="0"/>
                <w:color w:val="172033"/>
                <w:sz w:val="17"/>
              </w:rPr>
              <w:t>Student number</w:t>
            </w:r>
          </w:p>
        </w:tc>
        <w:tc>
          <w:tcPr>
            <w:tcW w:type="dxa" w:w="6480"/>
            <w:vAlign w:val="center"/>
            <w:shd w:fill="F3F6F8"/>
          </w:tcPr>
          <w:p>
            <w:pPr>
              <w:spacing w:after="40"/>
            </w:pPr>
            <w:r/>
            <w:r>
              <w:rPr>
                <w:rFonts w:ascii="Aptos" w:hAnsi="Aptos"/>
                <w:b w:val="0"/>
                <w:color w:val="172033"/>
                <w:sz w:val="17"/>
              </w:rPr>
              <w:t>24163800</w:t>
            </w:r>
          </w:p>
        </w:tc>
      </w:tr>
      <w:tr>
        <w:tc>
          <w:tcPr>
            <w:tcW w:type="dxa" w:w="2448"/>
            <w:vAlign w:val="center"/>
            <w:shd w:fill="FFFFFF"/>
          </w:tcPr>
          <w:p>
            <w:pPr>
              <w:spacing w:after="40"/>
            </w:pPr>
            <w:r/>
            <w:r>
              <w:rPr>
                <w:rFonts w:ascii="Aptos" w:hAnsi="Aptos"/>
                <w:b w:val="0"/>
                <w:color w:val="172033"/>
                <w:sz w:val="17"/>
              </w:rPr>
              <w:t>Core question</w:t>
            </w:r>
          </w:p>
        </w:tc>
        <w:tc>
          <w:tcPr>
            <w:tcW w:type="dxa" w:w="6480"/>
            <w:vAlign w:val="center"/>
            <w:shd w:fill="FFFFFF"/>
          </w:tcPr>
          <w:p>
            <w:pPr>
              <w:spacing w:after="40"/>
            </w:pPr>
            <w:r/>
            <w:r>
              <w:rPr>
                <w:rFonts w:ascii="Aptos" w:hAnsi="Aptos"/>
                <w:b w:val="0"/>
                <w:color w:val="172033"/>
                <w:sz w:val="17"/>
              </w:rPr>
              <w:t>Which verification signals remain useful after controlled image transformations?</w:t>
            </w:r>
          </w:p>
        </w:tc>
      </w:tr>
    </w:tbl>
    <w:p>
      <w:pPr>
        <w:spacing w:after="20"/>
      </w:pPr>
    </w:p>
    <w:p>
      <w:pPr>
        <w:spacing w:before="80" w:after="140"/>
        <w:ind w:left="216" w:right="216"/>
      </w:pPr>
      <w:r>
        <w:rPr>
          <w:b/>
        </w:rPr>
        <w:t xml:space="preserve">Reading rule: </w:t>
      </w:r>
      <w:r>
        <w:t>Treat every result as conditional on the implementation, dataset, transform, metric, and validation state described in this guide. A recovered signal is not proof of truth, identity, or provenance.</w:t>
      </w:r>
    </w:p>
    <w:p>
      <w:pPr>
        <w:spacing w:before="100" w:after="60"/>
        <w:jc w:val="center"/>
      </w:pPr>
      <w:r>
        <w:drawing>
          <wp:inline xmlns:a="http://schemas.openxmlformats.org/drawingml/2006/main" xmlns:pic="http://schemas.openxmlformats.org/drawingml/2006/picture">
            <wp:extent cx="5394960" cy="3147060"/>
            <wp:docPr id="1" name="Picture 1"/>
            <wp:cNvGraphicFramePr>
              <a:graphicFrameLocks noChangeAspect="1"/>
            </wp:cNvGraphicFramePr>
            <a:graphic>
              <a:graphicData uri="http://schemas.openxmlformats.org/drawingml/2006/picture">
                <pic:pic>
                  <pic:nvPicPr>
                    <pic:cNvPr id="0" name="fpr_transform_taxonomy.png"/>
                    <pic:cNvPicPr/>
                  </pic:nvPicPr>
                  <pic:blipFill>
                    <a:blip r:embed="rId11"/>
                    <a:stretch>
                      <a:fillRect/>
                    </a:stretch>
                  </pic:blipFill>
                  <pic:spPr>
                    <a:xfrm>
                      <a:off x="0" y="0"/>
                      <a:ext cx="5394960" cy="3147060"/>
                    </a:xfrm>
                    <a:prstGeom prst="rect"/>
                  </pic:spPr>
                </pic:pic>
              </a:graphicData>
            </a:graphic>
          </wp:inline>
        </w:drawing>
      </w:r>
    </w:p>
    <w:p>
      <w:pPr>
        <w:spacing w:after="160"/>
        <w:jc w:val="center"/>
      </w:pPr>
      <w:r>
        <w:rPr>
          <w:rFonts w:ascii="Aptos" w:hAnsi="Aptos"/>
          <w:i/>
          <w:color w:val="425466"/>
          <w:sz w:val="17"/>
        </w:rPr>
        <w:t>Figure 1. Transform taxonomy used to organise the robustness study. Source: output/figures/fpr_transform_taxonomy.png.</w:t>
      </w:r>
    </w:p>
    <w:p>
      <w:r>
        <w:br w:type="page"/>
      </w:r>
    </w:p>
    <w:p>
      <w:pPr>
        <w:pStyle w:val="Heading1"/>
        <w:keepNext/>
      </w:pPr>
      <w:r>
        <w:t>1. Executive Overview</w:t>
      </w:r>
    </w:p>
    <w:p>
      <w:r>
        <w:t>This project benchmarks complementary image-verification signals rather than searching for one universal authenticity detector. It compares perceptual hashes, a neural watermark, and two classical watermark baselines under a shared matrix of graduated image transformations. The study is designed to show where each signal remains informative and where it fails.</w:t>
      </w:r>
    </w:p>
    <w:p>
      <w:pPr>
        <w:pStyle w:val="Heading2"/>
        <w:keepNext/>
      </w:pPr>
      <w:r>
        <w:t>The central message</w:t>
      </w:r>
    </w:p>
    <w:p>
      <w:r>
        <w:t>Robustness is conditional. TrustMark is generally strong against value and encoding changes in the tested evidence, while geometric changes such as rotation, cropping, and letterbox padding expose important weaknesses. Perceptual hashes provide a separate similarity signal; LSB and DCT provide useful baselines but are not production recommendations. The ensemble is a decision aid, not a trust system.</w:t>
      </w:r>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17324D"/>
          </w:tcPr>
          <w:p>
            <w:pPr>
              <w:spacing w:after="40"/>
            </w:pPr>
            <w:r/>
            <w:r>
              <w:rPr>
                <w:rFonts w:ascii="Aptos" w:hAnsi="Aptos"/>
                <w:b/>
                <w:color w:val="FFFFFF"/>
                <w:sz w:val="17"/>
              </w:rPr>
              <w:t>Question</w:t>
            </w:r>
          </w:p>
        </w:tc>
        <w:tc>
          <w:tcPr>
            <w:tcW w:type="dxa" w:w="6552"/>
            <w:vAlign w:val="center"/>
            <w:shd w:fill="17324D"/>
          </w:tcPr>
          <w:p>
            <w:pPr>
              <w:spacing w:after="40"/>
            </w:pPr>
            <w:r/>
            <w:r>
              <w:rPr>
                <w:rFonts w:ascii="Aptos" w:hAnsi="Aptos"/>
                <w:b/>
                <w:color w:val="FFFFFF"/>
                <w:sz w:val="17"/>
              </w:rPr>
              <w:t>Answer supported by the study</w:t>
            </w:r>
          </w:p>
        </w:tc>
      </w:tr>
      <w:tr>
        <w:tc>
          <w:tcPr>
            <w:tcW w:type="dxa" w:w="2376"/>
            <w:vAlign w:val="center"/>
            <w:shd w:fill="F3F6F8"/>
          </w:tcPr>
          <w:p>
            <w:pPr>
              <w:spacing w:after="40"/>
            </w:pPr>
            <w:r/>
            <w:r>
              <w:rPr>
                <w:rFonts w:ascii="Aptos" w:hAnsi="Aptos"/>
                <w:b w:val="0"/>
                <w:color w:val="172033"/>
                <w:sz w:val="17"/>
              </w:rPr>
              <w:t>What is being measured?</w:t>
            </w:r>
          </w:p>
        </w:tc>
        <w:tc>
          <w:tcPr>
            <w:tcW w:type="dxa" w:w="6552"/>
            <w:vAlign w:val="center"/>
            <w:shd w:fill="F3F6F8"/>
          </w:tcPr>
          <w:p>
            <w:pPr>
              <w:spacing w:after="40"/>
            </w:pPr>
            <w:r/>
            <w:r>
              <w:rPr>
                <w:rFonts w:ascii="Aptos" w:hAnsi="Aptos"/>
                <w:b w:val="0"/>
                <w:color w:val="172033"/>
                <w:sz w:val="17"/>
              </w:rPr>
              <w:t>Persistence of a verification signal after a defined transformation.</w:t>
            </w:r>
          </w:p>
        </w:tc>
      </w:tr>
      <w:tr>
        <w:tc>
          <w:tcPr>
            <w:tcW w:type="dxa" w:w="2376"/>
            <w:vAlign w:val="center"/>
            <w:shd w:fill="FFFFFF"/>
          </w:tcPr>
          <w:p>
            <w:pPr>
              <w:spacing w:after="40"/>
            </w:pPr>
            <w:r/>
            <w:r>
              <w:rPr>
                <w:rFonts w:ascii="Aptos" w:hAnsi="Aptos"/>
                <w:b w:val="0"/>
                <w:color w:val="172033"/>
                <w:sz w:val="17"/>
              </w:rPr>
              <w:t>What is not being measured?</w:t>
            </w:r>
          </w:p>
        </w:tc>
        <w:tc>
          <w:tcPr>
            <w:tcW w:type="dxa" w:w="6552"/>
            <w:vAlign w:val="center"/>
            <w:shd w:fill="FFFFFF"/>
          </w:tcPr>
          <w:p>
            <w:pPr>
              <w:spacing w:after="40"/>
            </w:pPr>
            <w:r/>
            <w:r>
              <w:rPr>
                <w:rFonts w:ascii="Aptos" w:hAnsi="Aptos"/>
                <w:b w:val="0"/>
                <w:color w:val="172033"/>
                <w:sz w:val="17"/>
              </w:rPr>
              <w:t>Authorship, factual truth, identity, signed provenance, or resistance to adaptive attackers.</w:t>
            </w:r>
          </w:p>
        </w:tc>
      </w:tr>
      <w:tr>
        <w:tc>
          <w:tcPr>
            <w:tcW w:type="dxa" w:w="2376"/>
            <w:vAlign w:val="center"/>
            <w:shd w:fill="F3F6F8"/>
          </w:tcPr>
          <w:p>
            <w:pPr>
              <w:spacing w:after="40"/>
            </w:pPr>
            <w:r/>
            <w:r>
              <w:rPr>
                <w:rFonts w:ascii="Aptos" w:hAnsi="Aptos"/>
                <w:b w:val="0"/>
                <w:color w:val="172033"/>
                <w:sz w:val="17"/>
              </w:rPr>
              <w:t>Why use several methods?</w:t>
            </w:r>
          </w:p>
        </w:tc>
        <w:tc>
          <w:tcPr>
            <w:tcW w:type="dxa" w:w="6552"/>
            <w:vAlign w:val="center"/>
            <w:shd w:fill="F3F6F8"/>
          </w:tcPr>
          <w:p>
            <w:pPr>
              <w:spacing w:after="40"/>
            </w:pPr>
            <w:r/>
            <w:r>
              <w:rPr>
                <w:rFonts w:ascii="Aptos" w:hAnsi="Aptos"/>
                <w:b w:val="0"/>
                <w:color w:val="172033"/>
                <w:sz w:val="17"/>
              </w:rPr>
              <w:t>Different embedding domains and comparison rules fail under different transformations.</w:t>
            </w:r>
          </w:p>
        </w:tc>
      </w:tr>
      <w:tr>
        <w:tc>
          <w:tcPr>
            <w:tcW w:type="dxa" w:w="2376"/>
            <w:vAlign w:val="center"/>
            <w:shd w:fill="FFFFFF"/>
          </w:tcPr>
          <w:p>
            <w:pPr>
              <w:spacing w:after="40"/>
            </w:pPr>
            <w:r/>
            <w:r>
              <w:rPr>
                <w:rFonts w:ascii="Aptos" w:hAnsi="Aptos"/>
                <w:b w:val="0"/>
                <w:color w:val="172033"/>
                <w:sz w:val="17"/>
              </w:rPr>
              <w:t>What is the practical output?</w:t>
            </w:r>
          </w:p>
        </w:tc>
        <w:tc>
          <w:tcPr>
            <w:tcW w:type="dxa" w:w="6552"/>
            <w:vAlign w:val="center"/>
            <w:shd w:fill="FFFFFF"/>
          </w:tcPr>
          <w:p>
            <w:pPr>
              <w:spacing w:after="40"/>
            </w:pPr>
            <w:r/>
            <w:r>
              <w:rPr>
                <w:rFonts w:ascii="Aptos" w:hAnsi="Aptos"/>
                <w:b w:val="0"/>
                <w:color w:val="172033"/>
                <w:sz w:val="17"/>
              </w:rPr>
              <w:t>Auditable result rows, threshold analysis, an ensemble matrix, and an inspectable dashboard.</w:t>
            </w:r>
          </w:p>
        </w:tc>
      </w:tr>
    </w:tbl>
    <w:p>
      <w:pPr>
        <w:spacing w:after="20"/>
      </w:pPr>
    </w:p>
    <w:p>
      <w:pPr>
        <w:pStyle w:val="Heading2"/>
        <w:keepNext/>
      </w:pPr>
      <w:r>
        <w:t>Suggested opening</w:t>
      </w:r>
    </w:p>
    <w:p>
      <w:pPr>
        <w:spacing w:before="80" w:after="140"/>
        <w:ind w:left="216" w:right="216"/>
      </w:pPr>
      <w:r>
        <w:rPr>
          <w:b/>
        </w:rPr>
        <w:t xml:space="preserve">Thirty-second version: </w:t>
      </w:r>
      <w:r>
        <w:t>Images are routinely resized, recompressed, filtered, cropped, and re-encoded. This project asks whether several verification signals degrade gracefully under those operations. It uses a shared deterministic pipeline, records row-level evidence, and reports the boundary between useful similarity evidence and unsupported claims of authenticity.</w:t>
      </w:r>
    </w:p>
    <w:p>
      <w:pPr>
        <w:pStyle w:val="Heading2"/>
        <w:keepNext/>
      </w:pPr>
      <w:r>
        <w:t>Three claims to remember</w:t>
      </w:r>
    </w:p>
    <w:p>
      <w:pPr>
        <w:pStyle w:val="ListBullet"/>
        <w:spacing w:after="60"/>
      </w:pPr>
      <w:r>
        <w:t>A low perceptual-hash distance indicates similarity under a chosen rule; it is not cryptographic authentication.</w:t>
      </w:r>
    </w:p>
    <w:p>
      <w:pPr>
        <w:pStyle w:val="ListBullet"/>
        <w:spacing w:after="60"/>
      </w:pPr>
      <w:r>
        <w:t>A decoded watermark demonstrates signal recovery for the tested payload and condition; it is not proof of origin.</w:t>
      </w:r>
    </w:p>
    <w:p>
      <w:pPr>
        <w:pStyle w:val="ListBullet"/>
        <w:spacing w:after="60"/>
      </w:pPr>
      <w:r>
        <w:t>The strongest contribution is traceability: explicit transforms, validation checks, corrections, limitations, and reproducible evidence paths.</w:t>
      </w:r>
    </w:p>
    <w:p>
      <w:r>
        <w:br w:type="page"/>
      </w:r>
    </w:p>
    <w:p>
      <w:pPr>
        <w:pStyle w:val="Heading1"/>
        <w:keepNext/>
      </w:pPr>
      <w:r>
        <w:t>2. Study Design</w:t>
      </w:r>
    </w:p>
    <w:p>
      <w:r>
        <w:t>The experiment applies each transform independently to the same deterministically selected image set. This isolates the effect of a named operation and makes method-to-method comparisons easier to interpret. It does not model cascaded attacks or adaptive adversaries.</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7324D"/>
          </w:tcPr>
          <w:p>
            <w:pPr>
              <w:spacing w:after="40"/>
            </w:pPr>
            <w:r/>
            <w:r>
              <w:rPr>
                <w:rFonts w:ascii="Aptos" w:hAnsi="Aptos"/>
                <w:b/>
                <w:color w:val="FFFFFF"/>
                <w:sz w:val="17"/>
              </w:rPr>
              <w:t>Element</w:t>
            </w:r>
          </w:p>
        </w:tc>
        <w:tc>
          <w:tcPr>
            <w:tcW w:type="dxa" w:w="6696"/>
            <w:vAlign w:val="center"/>
            <w:shd w:fill="17324D"/>
          </w:tcPr>
          <w:p>
            <w:pPr>
              <w:spacing w:after="40"/>
            </w:pPr>
            <w:r/>
            <w:r>
              <w:rPr>
                <w:rFonts w:ascii="Aptos" w:hAnsi="Aptos"/>
                <w:b/>
                <w:color w:val="FFFFFF"/>
                <w:sz w:val="17"/>
              </w:rPr>
              <w:t>Design</w:t>
            </w:r>
          </w:p>
        </w:tc>
      </w:tr>
      <w:tr>
        <w:tc>
          <w:tcPr>
            <w:tcW w:type="dxa" w:w="2232"/>
            <w:vAlign w:val="center"/>
            <w:shd w:fill="F3F6F8"/>
          </w:tcPr>
          <w:p>
            <w:pPr>
              <w:spacing w:after="40"/>
            </w:pPr>
            <w:r/>
            <w:r>
              <w:rPr>
                <w:rFonts w:ascii="Aptos" w:hAnsi="Aptos"/>
                <w:b w:val="0"/>
                <w:color w:val="172033"/>
                <w:sz w:val="17"/>
              </w:rPr>
              <w:t>Dataset</w:t>
            </w:r>
          </w:p>
        </w:tc>
        <w:tc>
          <w:tcPr>
            <w:tcW w:type="dxa" w:w="6696"/>
            <w:vAlign w:val="center"/>
            <w:shd w:fill="F3F6F8"/>
          </w:tcPr>
          <w:p>
            <w:pPr>
              <w:spacing w:after="40"/>
            </w:pPr>
            <w:r/>
            <w:r>
              <w:rPr>
                <w:rFonts w:ascii="Aptos" w:hAnsi="Aptos"/>
                <w:b w:val="0"/>
                <w:color w:val="172033"/>
                <w:sz w:val="17"/>
              </w:rPr>
              <w:t>MS-COCO 2017 validation images; deterministic filename-order selection.</w:t>
            </w:r>
          </w:p>
        </w:tc>
      </w:tr>
      <w:tr>
        <w:tc>
          <w:tcPr>
            <w:tcW w:type="dxa" w:w="2232"/>
            <w:vAlign w:val="center"/>
            <w:shd w:fill="FFFFFF"/>
          </w:tcPr>
          <w:p>
            <w:pPr>
              <w:spacing w:after="40"/>
            </w:pPr>
            <w:r/>
            <w:r>
              <w:rPr>
                <w:rFonts w:ascii="Aptos" w:hAnsi="Aptos"/>
                <w:b w:val="0"/>
                <w:color w:val="172033"/>
                <w:sz w:val="17"/>
              </w:rPr>
              <w:t>Evidence scale</w:t>
            </w:r>
          </w:p>
        </w:tc>
        <w:tc>
          <w:tcPr>
            <w:tcW w:type="dxa" w:w="6696"/>
            <w:vAlign w:val="center"/>
            <w:shd w:fill="FFFFFF"/>
          </w:tcPr>
          <w:p>
            <w:pPr>
              <w:spacing w:after="40"/>
            </w:pPr>
            <w:r/>
            <w:r>
              <w:rPr>
                <w:rFonts w:ascii="Aptos" w:hAnsi="Aptos"/>
                <w:b w:val="0"/>
                <w:color w:val="172033"/>
                <w:sz w:val="17"/>
              </w:rPr>
              <w:t>Validated final1200 run; image is the statistical unit for uncertainty summaries.</w:t>
            </w:r>
          </w:p>
        </w:tc>
      </w:tr>
      <w:tr>
        <w:tc>
          <w:tcPr>
            <w:tcW w:type="dxa" w:w="2232"/>
            <w:vAlign w:val="center"/>
            <w:shd w:fill="F3F6F8"/>
          </w:tcPr>
          <w:p>
            <w:pPr>
              <w:spacing w:after="40"/>
            </w:pPr>
            <w:r/>
            <w:r>
              <w:rPr>
                <w:rFonts w:ascii="Aptos" w:hAnsi="Aptos"/>
                <w:b w:val="0"/>
                <w:color w:val="172033"/>
                <w:sz w:val="17"/>
              </w:rPr>
              <w:t>Transform matrix</w:t>
            </w:r>
          </w:p>
        </w:tc>
        <w:tc>
          <w:tcPr>
            <w:tcW w:type="dxa" w:w="6696"/>
            <w:vAlign w:val="center"/>
            <w:shd w:fill="F3F6F8"/>
          </w:tcPr>
          <w:p>
            <w:pPr>
              <w:spacing w:after="40"/>
            </w:pPr>
            <w:r/>
            <w:r>
              <w:rPr>
                <w:rFonts w:ascii="Aptos" w:hAnsi="Aptos"/>
                <w:b w:val="0"/>
                <w:color w:val="172033"/>
                <w:sz w:val="17"/>
              </w:rPr>
              <w:t>12 transform families and 80 transform-intensity conditions.</w:t>
            </w:r>
          </w:p>
        </w:tc>
      </w:tr>
      <w:tr>
        <w:tc>
          <w:tcPr>
            <w:tcW w:type="dxa" w:w="2232"/>
            <w:vAlign w:val="center"/>
            <w:shd w:fill="FFFFFF"/>
          </w:tcPr>
          <w:p>
            <w:pPr>
              <w:spacing w:after="40"/>
            </w:pPr>
            <w:r/>
            <w:r>
              <w:rPr>
                <w:rFonts w:ascii="Aptos" w:hAnsi="Aptos"/>
                <w:b w:val="0"/>
                <w:color w:val="172033"/>
                <w:sz w:val="17"/>
              </w:rPr>
              <w:t>Hash layer</w:t>
            </w:r>
          </w:p>
        </w:tc>
        <w:tc>
          <w:tcPr>
            <w:tcW w:type="dxa" w:w="6696"/>
            <w:vAlign w:val="center"/>
            <w:shd w:fill="FFFFFF"/>
          </w:tcPr>
          <w:p>
            <w:pPr>
              <w:spacing w:after="40"/>
            </w:pPr>
            <w:r/>
            <w:r>
              <w:rPr>
                <w:rFonts w:ascii="Aptos" w:hAnsi="Aptos"/>
                <w:b w:val="0"/>
                <w:color w:val="172033"/>
                <w:sz w:val="17"/>
              </w:rPr>
              <w:t>Eight perceptual-hash variants; reference-to-transformed Hamming distance.</w:t>
            </w:r>
          </w:p>
        </w:tc>
      </w:tr>
      <w:tr>
        <w:tc>
          <w:tcPr>
            <w:tcW w:type="dxa" w:w="2232"/>
            <w:vAlign w:val="center"/>
            <w:shd w:fill="F3F6F8"/>
          </w:tcPr>
          <w:p>
            <w:pPr>
              <w:spacing w:after="40"/>
            </w:pPr>
            <w:r/>
            <w:r>
              <w:rPr>
                <w:rFonts w:ascii="Aptos" w:hAnsi="Aptos"/>
                <w:b w:val="0"/>
                <w:color w:val="172033"/>
                <w:sz w:val="17"/>
              </w:rPr>
              <w:t>Watermark layer</w:t>
            </w:r>
          </w:p>
        </w:tc>
        <w:tc>
          <w:tcPr>
            <w:tcW w:type="dxa" w:w="6696"/>
            <w:vAlign w:val="center"/>
            <w:shd w:fill="F3F6F8"/>
          </w:tcPr>
          <w:p>
            <w:pPr>
              <w:spacing w:after="40"/>
            </w:pPr>
            <w:r/>
            <w:r>
              <w:rPr>
                <w:rFonts w:ascii="Aptos" w:hAnsi="Aptos"/>
                <w:b w:val="0"/>
                <w:color w:val="172033"/>
                <w:sz w:val="17"/>
              </w:rPr>
              <w:t>TrustMark, LSB, and differential DCT baselines with fixed payloads.</w:t>
            </w:r>
          </w:p>
        </w:tc>
      </w:tr>
      <w:tr>
        <w:tc>
          <w:tcPr>
            <w:tcW w:type="dxa" w:w="2232"/>
            <w:vAlign w:val="center"/>
            <w:shd w:fill="FFFFFF"/>
          </w:tcPr>
          <w:p>
            <w:pPr>
              <w:spacing w:after="40"/>
            </w:pPr>
            <w:r/>
            <w:r>
              <w:rPr>
                <w:rFonts w:ascii="Aptos" w:hAnsi="Aptos"/>
                <w:b w:val="0"/>
                <w:color w:val="172033"/>
                <w:sz w:val="17"/>
              </w:rPr>
              <w:t>Analysis</w:t>
            </w:r>
          </w:p>
        </w:tc>
        <w:tc>
          <w:tcPr>
            <w:tcW w:type="dxa" w:w="6696"/>
            <w:vAlign w:val="center"/>
            <w:shd w:fill="FFFFFF"/>
          </w:tcPr>
          <w:p>
            <w:pPr>
              <w:spacing w:after="40"/>
            </w:pPr>
            <w:r/>
            <w:r>
              <w:rPr>
                <w:rFonts w:ascii="Aptos" w:hAnsi="Aptos"/>
                <w:b w:val="0"/>
                <w:color w:val="172033"/>
                <w:sz w:val="17"/>
              </w:rPr>
              <w:t>Threshold crossings, worst-algorithm hash rule, and best/fallback ensemble choices.</w:t>
            </w:r>
          </w:p>
        </w:tc>
      </w:tr>
    </w:tbl>
    <w:p>
      <w:pPr>
        <w:spacing w:after="20"/>
      </w:pPr>
    </w:p>
    <w:p>
      <w:pPr>
        <w:pStyle w:val="Heading2"/>
        <w:keepNext/>
      </w:pPr>
      <w:r>
        <w:t>Transform families</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7324D"/>
          </w:tcPr>
          <w:p>
            <w:pPr>
              <w:spacing w:after="40"/>
            </w:pPr>
            <w:r/>
            <w:r>
              <w:rPr>
                <w:rFonts w:ascii="Aptos" w:hAnsi="Aptos"/>
                <w:b/>
                <w:color w:val="FFFFFF"/>
                <w:sz w:val="17"/>
              </w:rPr>
              <w:t>Family</w:t>
            </w:r>
          </w:p>
        </w:tc>
        <w:tc>
          <w:tcPr>
            <w:tcW w:type="dxa" w:w="3528"/>
            <w:vAlign w:val="center"/>
            <w:shd w:fill="17324D"/>
          </w:tcPr>
          <w:p>
            <w:pPr>
              <w:spacing w:after="40"/>
            </w:pPr>
            <w:r/>
            <w:r>
              <w:rPr>
                <w:rFonts w:ascii="Aptos" w:hAnsi="Aptos"/>
                <w:b/>
                <w:color w:val="FFFFFF"/>
                <w:sz w:val="17"/>
              </w:rPr>
              <w:t>Examples</w:t>
            </w:r>
          </w:p>
        </w:tc>
        <w:tc>
          <w:tcPr>
            <w:tcW w:type="dxa" w:w="3456"/>
            <w:vAlign w:val="center"/>
            <w:shd w:fill="17324D"/>
          </w:tcPr>
          <w:p>
            <w:pPr>
              <w:spacing w:after="40"/>
            </w:pPr>
            <w:r/>
            <w:r>
              <w:rPr>
                <w:rFonts w:ascii="Aptos" w:hAnsi="Aptos"/>
                <w:b/>
                <w:color w:val="FFFFFF"/>
                <w:sz w:val="17"/>
              </w:rPr>
              <w:t>Interpretive focus</w:t>
            </w:r>
          </w:p>
        </w:tc>
      </w:tr>
      <w:tr>
        <w:tc>
          <w:tcPr>
            <w:tcW w:type="dxa" w:w="1944"/>
            <w:vAlign w:val="center"/>
            <w:shd w:fill="F3F6F8"/>
          </w:tcPr>
          <w:p>
            <w:pPr>
              <w:spacing w:after="40"/>
            </w:pPr>
            <w:r/>
            <w:r>
              <w:rPr>
                <w:rFonts w:ascii="Aptos" w:hAnsi="Aptos"/>
                <w:b w:val="0"/>
                <w:color w:val="172033"/>
                <w:sz w:val="17"/>
              </w:rPr>
              <w:t>Photometric</w:t>
            </w:r>
          </w:p>
        </w:tc>
        <w:tc>
          <w:tcPr>
            <w:tcW w:type="dxa" w:w="3528"/>
            <w:vAlign w:val="center"/>
            <w:shd w:fill="F3F6F8"/>
          </w:tcPr>
          <w:p>
            <w:pPr>
              <w:spacing w:after="40"/>
            </w:pPr>
            <w:r/>
            <w:r>
              <w:rPr>
                <w:rFonts w:ascii="Aptos" w:hAnsi="Aptos"/>
                <w:b w:val="0"/>
                <w:color w:val="172033"/>
                <w:sz w:val="17"/>
              </w:rPr>
              <w:t>Brightness, contrast, saturation, vibrancy</w:t>
            </w:r>
          </w:p>
        </w:tc>
        <w:tc>
          <w:tcPr>
            <w:tcW w:type="dxa" w:w="3456"/>
            <w:vAlign w:val="center"/>
            <w:shd w:fill="F3F6F8"/>
          </w:tcPr>
          <w:p>
            <w:pPr>
              <w:spacing w:after="40"/>
            </w:pPr>
            <w:r/>
            <w:r>
              <w:rPr>
                <w:rFonts w:ascii="Aptos" w:hAnsi="Aptos"/>
                <w:b w:val="0"/>
                <w:color w:val="172033"/>
                <w:sz w:val="17"/>
              </w:rPr>
              <w:t>Pixel-value changes</w:t>
            </w:r>
          </w:p>
        </w:tc>
      </w:tr>
      <w:tr>
        <w:tc>
          <w:tcPr>
            <w:tcW w:type="dxa" w:w="1944"/>
            <w:vAlign w:val="center"/>
            <w:shd w:fill="FFFFFF"/>
          </w:tcPr>
          <w:p>
            <w:pPr>
              <w:spacing w:after="40"/>
            </w:pPr>
            <w:r/>
            <w:r>
              <w:rPr>
                <w:rFonts w:ascii="Aptos" w:hAnsi="Aptos"/>
                <w:b w:val="0"/>
                <w:color w:val="172033"/>
                <w:sz w:val="17"/>
              </w:rPr>
              <w:t>Encoding / noise</w:t>
            </w:r>
          </w:p>
        </w:tc>
        <w:tc>
          <w:tcPr>
            <w:tcW w:type="dxa" w:w="3528"/>
            <w:vAlign w:val="center"/>
            <w:shd w:fill="FFFFFF"/>
          </w:tcPr>
          <w:p>
            <w:pPr>
              <w:spacing w:after="40"/>
            </w:pPr>
            <w:r/>
            <w:r>
              <w:rPr>
                <w:rFonts w:ascii="Aptos" w:hAnsi="Aptos"/>
                <w:b w:val="0"/>
                <w:color w:val="172033"/>
                <w:sz w:val="17"/>
              </w:rPr>
              <w:t>Blur, salt-and-pepper noise, JPEG</w:t>
            </w:r>
          </w:p>
        </w:tc>
        <w:tc>
          <w:tcPr>
            <w:tcW w:type="dxa" w:w="3456"/>
            <w:vAlign w:val="center"/>
            <w:shd w:fill="FFFFFF"/>
          </w:tcPr>
          <w:p>
            <w:pPr>
              <w:spacing w:after="40"/>
            </w:pPr>
            <w:r/>
            <w:r>
              <w:rPr>
                <w:rFonts w:ascii="Aptos" w:hAnsi="Aptos"/>
                <w:b w:val="0"/>
                <w:color w:val="172033"/>
                <w:sz w:val="17"/>
              </w:rPr>
              <w:t>Filtering and re-encoding</w:t>
            </w:r>
          </w:p>
        </w:tc>
      </w:tr>
      <w:tr>
        <w:tc>
          <w:tcPr>
            <w:tcW w:type="dxa" w:w="1944"/>
            <w:vAlign w:val="center"/>
            <w:shd w:fill="F3F6F8"/>
          </w:tcPr>
          <w:p>
            <w:pPr>
              <w:spacing w:after="40"/>
            </w:pPr>
            <w:r/>
            <w:r>
              <w:rPr>
                <w:rFonts w:ascii="Aptos" w:hAnsi="Aptos"/>
                <w:b w:val="0"/>
                <w:color w:val="172033"/>
                <w:sz w:val="17"/>
              </w:rPr>
              <w:t>Geometric</w:t>
            </w:r>
          </w:p>
        </w:tc>
        <w:tc>
          <w:tcPr>
            <w:tcW w:type="dxa" w:w="3528"/>
            <w:vAlign w:val="center"/>
            <w:shd w:fill="F3F6F8"/>
          </w:tcPr>
          <w:p>
            <w:pPr>
              <w:spacing w:after="40"/>
            </w:pPr>
            <w:r/>
            <w:r>
              <w:rPr>
                <w:rFonts w:ascii="Aptos" w:hAnsi="Aptos"/>
                <w:b w:val="0"/>
                <w:color w:val="172033"/>
                <w:sz w:val="17"/>
              </w:rPr>
              <w:t>Rotation, scaling, centre crop, random crop</w:t>
            </w:r>
          </w:p>
        </w:tc>
        <w:tc>
          <w:tcPr>
            <w:tcW w:type="dxa" w:w="3456"/>
            <w:vAlign w:val="center"/>
            <w:shd w:fill="F3F6F8"/>
          </w:tcPr>
          <w:p>
            <w:pPr>
              <w:spacing w:after="40"/>
            </w:pPr>
            <w:r/>
            <w:r>
              <w:rPr>
                <w:rFonts w:ascii="Aptos" w:hAnsi="Aptos"/>
                <w:b w:val="0"/>
                <w:color w:val="172033"/>
                <w:sz w:val="17"/>
              </w:rPr>
              <w:t>Coordinate and content disruption</w:t>
            </w:r>
          </w:p>
        </w:tc>
      </w:tr>
      <w:tr>
        <w:tc>
          <w:tcPr>
            <w:tcW w:type="dxa" w:w="1944"/>
            <w:vAlign w:val="center"/>
            <w:shd w:fill="FFFFFF"/>
          </w:tcPr>
          <w:p>
            <w:pPr>
              <w:spacing w:after="40"/>
            </w:pPr>
            <w:r/>
            <w:r>
              <w:rPr>
                <w:rFonts w:ascii="Aptos" w:hAnsi="Aptos"/>
                <w:b w:val="0"/>
                <w:color w:val="172033"/>
                <w:sz w:val="17"/>
              </w:rPr>
              <w:t>Layout</w:t>
            </w:r>
          </w:p>
        </w:tc>
        <w:tc>
          <w:tcPr>
            <w:tcW w:type="dxa" w:w="3528"/>
            <w:vAlign w:val="center"/>
            <w:shd w:fill="FFFFFF"/>
          </w:tcPr>
          <w:p>
            <w:pPr>
              <w:spacing w:after="40"/>
            </w:pPr>
            <w:r/>
            <w:r>
              <w:rPr>
                <w:rFonts w:ascii="Aptos" w:hAnsi="Aptos"/>
                <w:b w:val="0"/>
                <w:color w:val="172033"/>
                <w:sz w:val="17"/>
              </w:rPr>
              <w:t>Black and grey letterbox padding</w:t>
            </w:r>
          </w:p>
        </w:tc>
        <w:tc>
          <w:tcPr>
            <w:tcW w:type="dxa" w:w="3456"/>
            <w:vAlign w:val="center"/>
            <w:shd w:fill="FFFFFF"/>
          </w:tcPr>
          <w:p>
            <w:pPr>
              <w:spacing w:after="40"/>
            </w:pPr>
            <w:r/>
            <w:r>
              <w:rPr>
                <w:rFonts w:ascii="Aptos" w:hAnsi="Aptos"/>
                <w:b w:val="0"/>
                <w:color w:val="172033"/>
                <w:sz w:val="17"/>
              </w:rPr>
              <w:t>Aspect-ratio and padding effects</w:t>
            </w:r>
          </w:p>
        </w:tc>
      </w:tr>
    </w:tbl>
    <w:p>
      <w:pPr>
        <w:spacing w:after="20"/>
      </w:pPr>
    </w:p>
    <w:p>
      <w:pPr>
        <w:spacing w:before="100" w:after="60"/>
        <w:jc w:val="center"/>
      </w:pPr>
      <w:r>
        <w:drawing>
          <wp:inline xmlns:a="http://schemas.openxmlformats.org/drawingml/2006/main" xmlns:pic="http://schemas.openxmlformats.org/drawingml/2006/picture">
            <wp:extent cx="5349240" cy="2468880"/>
            <wp:docPr id="2" name="Picture 2"/>
            <wp:cNvGraphicFramePr>
              <a:graphicFrameLocks noChangeAspect="1"/>
            </wp:cNvGraphicFramePr>
            <a:graphic>
              <a:graphicData uri="http://schemas.openxmlformats.org/drawingml/2006/picture">
                <pic:pic>
                  <pic:nvPicPr>
                    <pic:cNvPr id="0" name="fpr_method_comparison.png"/>
                    <pic:cNvPicPr/>
                  </pic:nvPicPr>
                  <pic:blipFill>
                    <a:blip r:embed="rId12"/>
                    <a:stretch>
                      <a:fillRect/>
                    </a:stretch>
                  </pic:blipFill>
                  <pic:spPr>
                    <a:xfrm>
                      <a:off x="0" y="0"/>
                      <a:ext cx="5349240" cy="2468880"/>
                    </a:xfrm>
                    <a:prstGeom prst="rect"/>
                  </pic:spPr>
                </pic:pic>
              </a:graphicData>
            </a:graphic>
          </wp:inline>
        </w:drawing>
      </w:r>
    </w:p>
    <w:p>
      <w:pPr>
        <w:spacing w:after="160"/>
        <w:jc w:val="center"/>
      </w:pPr>
      <w:r>
        <w:rPr>
          <w:rFonts w:ascii="Aptos" w:hAnsi="Aptos"/>
          <w:i/>
          <w:color w:val="425466"/>
          <w:sz w:val="17"/>
        </w:rPr>
        <w:t>Figure 2. Method-comparison view used to frame the complementary roles of hashes and watermarking. Source: output/figures/fpr_method_comparison.png.</w:t>
      </w:r>
    </w:p>
    <w:p>
      <w:r>
        <w:br w:type="page"/>
      </w:r>
    </w:p>
    <w:p>
      <w:pPr>
        <w:pStyle w:val="Heading1"/>
        <w:keepNext/>
      </w:pPr>
      <w:r>
        <w:t>3. Signals and Metrics</w:t>
      </w:r>
    </w:p>
    <w:p>
      <w:pPr>
        <w:pStyle w:val="Heading2"/>
        <w:keepNext/>
      </w:pPr>
      <w:r>
        <w:t>Perceptual hashes</w:t>
      </w:r>
    </w:p>
    <w:p>
      <w:r>
        <w:t>The hash pipeline computes a reference hash for the original image and a second hash after each transformation. Hamming distance counts differing bits. Because hash lengths differ, the analysis also uses a bit-error fraction. PDQ is represented as a 256-bit value; the remaining configured hashes use their implementation-specific lengths.</w:t>
      </w:r>
    </w:p>
    <w:p>
      <w:pPr>
        <w:pStyle w:val="Heading2"/>
        <w:keepNext/>
      </w:pPr>
      <w:r>
        <w:t>Watermarks</w:t>
      </w:r>
    </w:p>
    <w:p>
      <w:r>
        <w:t>TrustMark embeds a fixed payload with a learned encoder and decoder. LSB writes a payload into the red-channel least-significant bit plane. DCT differentially embeds payload bits in mid-frequency coefficients. Their shared purpose is comparison, not equivalence: payload construction, embedding mechanism, decoder, and failure semantics differ.</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7324D"/>
          </w:tcPr>
          <w:p>
            <w:pPr>
              <w:spacing w:after="40"/>
            </w:pPr>
            <w:r/>
            <w:r>
              <w:rPr>
                <w:rFonts w:ascii="Aptos" w:hAnsi="Aptos"/>
                <w:b/>
                <w:color w:val="FFFFFF"/>
                <w:sz w:val="17"/>
              </w:rPr>
              <w:t>Metric</w:t>
            </w:r>
          </w:p>
        </w:tc>
        <w:tc>
          <w:tcPr>
            <w:tcW w:type="dxa" w:w="4176"/>
            <w:vAlign w:val="center"/>
            <w:shd w:fill="17324D"/>
          </w:tcPr>
          <w:p>
            <w:pPr>
              <w:spacing w:after="40"/>
            </w:pPr>
            <w:r/>
            <w:r>
              <w:rPr>
                <w:rFonts w:ascii="Aptos" w:hAnsi="Aptos"/>
                <w:b/>
                <w:color w:val="FFFFFF"/>
                <w:sz w:val="17"/>
              </w:rPr>
              <w:t>Meaning</w:t>
            </w:r>
          </w:p>
        </w:tc>
        <w:tc>
          <w:tcPr>
            <w:tcW w:type="dxa" w:w="2880"/>
            <w:vAlign w:val="center"/>
            <w:shd w:fill="17324D"/>
          </w:tcPr>
          <w:p>
            <w:pPr>
              <w:spacing w:after="40"/>
            </w:pPr>
            <w:r/>
            <w:r>
              <w:rPr>
                <w:rFonts w:ascii="Aptos" w:hAnsi="Aptos"/>
                <w:b/>
                <w:color w:val="FFFFFF"/>
                <w:sz w:val="17"/>
              </w:rPr>
              <w:t>Do not confuse it with</w:t>
            </w:r>
          </w:p>
        </w:tc>
      </w:tr>
      <w:tr>
        <w:tc>
          <w:tcPr>
            <w:tcW w:type="dxa" w:w="1944"/>
            <w:vAlign w:val="center"/>
            <w:shd w:fill="F3F6F8"/>
          </w:tcPr>
          <w:p>
            <w:pPr>
              <w:spacing w:after="40"/>
            </w:pPr>
            <w:r/>
            <w:r>
              <w:rPr>
                <w:rFonts w:ascii="Aptos" w:hAnsi="Aptos"/>
                <w:b w:val="0"/>
                <w:color w:val="172033"/>
                <w:sz w:val="17"/>
              </w:rPr>
              <w:t>Hamming distance</w:t>
            </w:r>
          </w:p>
        </w:tc>
        <w:tc>
          <w:tcPr>
            <w:tcW w:type="dxa" w:w="4176"/>
            <w:vAlign w:val="center"/>
            <w:shd w:fill="F3F6F8"/>
          </w:tcPr>
          <w:p>
            <w:pPr>
              <w:spacing w:after="40"/>
            </w:pPr>
            <w:r/>
            <w:r>
              <w:rPr>
                <w:rFonts w:ascii="Aptos" w:hAnsi="Aptos"/>
                <w:b w:val="0"/>
                <w:color w:val="172033"/>
                <w:sz w:val="17"/>
              </w:rPr>
              <w:t>Number of changed hash bits.</w:t>
            </w:r>
          </w:p>
        </w:tc>
        <w:tc>
          <w:tcPr>
            <w:tcW w:type="dxa" w:w="2880"/>
            <w:vAlign w:val="center"/>
            <w:shd w:fill="F3F6F8"/>
          </w:tcPr>
          <w:p>
            <w:pPr>
              <w:spacing w:after="40"/>
            </w:pPr>
            <w:r/>
            <w:r>
              <w:rPr>
                <w:rFonts w:ascii="Aptos" w:hAnsi="Aptos"/>
                <w:b w:val="0"/>
                <w:color w:val="172033"/>
                <w:sz w:val="17"/>
              </w:rPr>
              <w:t>A cryptographic proof of identity.</w:t>
            </w:r>
          </w:p>
        </w:tc>
      </w:tr>
      <w:tr>
        <w:tc>
          <w:tcPr>
            <w:tcW w:type="dxa" w:w="1944"/>
            <w:vAlign w:val="center"/>
            <w:shd w:fill="FFFFFF"/>
          </w:tcPr>
          <w:p>
            <w:pPr>
              <w:spacing w:after="40"/>
            </w:pPr>
            <w:r/>
            <w:r>
              <w:rPr>
                <w:rFonts w:ascii="Aptos" w:hAnsi="Aptos"/>
                <w:b w:val="0"/>
                <w:color w:val="172033"/>
                <w:sz w:val="17"/>
              </w:rPr>
              <w:t>Bit-error fraction</w:t>
            </w:r>
          </w:p>
        </w:tc>
        <w:tc>
          <w:tcPr>
            <w:tcW w:type="dxa" w:w="4176"/>
            <w:vAlign w:val="center"/>
            <w:shd w:fill="FFFFFF"/>
          </w:tcPr>
          <w:p>
            <w:pPr>
              <w:spacing w:after="40"/>
            </w:pPr>
            <w:r/>
            <w:r>
              <w:rPr>
                <w:rFonts w:ascii="Aptos" w:hAnsi="Aptos"/>
                <w:b w:val="0"/>
                <w:color w:val="172033"/>
                <w:sz w:val="17"/>
              </w:rPr>
              <w:t>Hamming distance divided by the relevant hash length.</w:t>
            </w:r>
          </w:p>
        </w:tc>
        <w:tc>
          <w:tcPr>
            <w:tcW w:type="dxa" w:w="2880"/>
            <w:vAlign w:val="center"/>
            <w:shd w:fill="FFFFFF"/>
          </w:tcPr>
          <w:p>
            <w:pPr>
              <w:spacing w:after="40"/>
            </w:pPr>
            <w:r/>
            <w:r>
              <w:rPr>
                <w:rFonts w:ascii="Aptos" w:hAnsi="Aptos"/>
                <w:b w:val="0"/>
                <w:color w:val="172033"/>
                <w:sz w:val="17"/>
              </w:rPr>
              <w:t>A universal image-severity scale.</w:t>
            </w:r>
          </w:p>
        </w:tc>
      </w:tr>
      <w:tr>
        <w:tc>
          <w:tcPr>
            <w:tcW w:type="dxa" w:w="1944"/>
            <w:vAlign w:val="center"/>
            <w:shd w:fill="F3F6F8"/>
          </w:tcPr>
          <w:p>
            <w:pPr>
              <w:spacing w:after="40"/>
            </w:pPr>
            <w:r/>
            <w:r>
              <w:rPr>
                <w:rFonts w:ascii="Aptos" w:hAnsi="Aptos"/>
                <w:b w:val="0"/>
                <w:color w:val="172033"/>
                <w:sz w:val="17"/>
              </w:rPr>
              <w:t>Raw bit accuracy</w:t>
            </w:r>
          </w:p>
        </w:tc>
        <w:tc>
          <w:tcPr>
            <w:tcW w:type="dxa" w:w="4176"/>
            <w:vAlign w:val="center"/>
            <w:shd w:fill="F3F6F8"/>
          </w:tcPr>
          <w:p>
            <w:pPr>
              <w:spacing w:after="40"/>
            </w:pPr>
            <w:r/>
            <w:r>
              <w:rPr>
                <w:rFonts w:ascii="Aptos" w:hAnsi="Aptos"/>
                <w:b w:val="0"/>
                <w:color w:val="172033"/>
                <w:sz w:val="17"/>
              </w:rPr>
              <w:t>Recovered payload bits before error correction.</w:t>
            </w:r>
          </w:p>
        </w:tc>
        <w:tc>
          <w:tcPr>
            <w:tcW w:type="dxa" w:w="2880"/>
            <w:vAlign w:val="center"/>
            <w:shd w:fill="F3F6F8"/>
          </w:tcPr>
          <w:p>
            <w:pPr>
              <w:spacing w:after="40"/>
            </w:pPr>
            <w:r/>
            <w:r>
              <w:rPr>
                <w:rFonts w:ascii="Aptos" w:hAnsi="Aptos"/>
                <w:b w:val="0"/>
                <w:color w:val="172033"/>
                <w:sz w:val="17"/>
              </w:rPr>
              <w:t>Exact payload recovery.</w:t>
            </w:r>
          </w:p>
        </w:tc>
      </w:tr>
      <w:tr>
        <w:tc>
          <w:tcPr>
            <w:tcW w:type="dxa" w:w="1944"/>
            <w:vAlign w:val="center"/>
            <w:shd w:fill="FFFFFF"/>
          </w:tcPr>
          <w:p>
            <w:pPr>
              <w:spacing w:after="40"/>
            </w:pPr>
            <w:r/>
            <w:r>
              <w:rPr>
                <w:rFonts w:ascii="Aptos" w:hAnsi="Aptos"/>
                <w:b w:val="0"/>
                <w:color w:val="172033"/>
                <w:sz w:val="17"/>
              </w:rPr>
              <w:t>Decode presence</w:t>
            </w:r>
          </w:p>
        </w:tc>
        <w:tc>
          <w:tcPr>
            <w:tcW w:type="dxa" w:w="4176"/>
            <w:vAlign w:val="center"/>
            <w:shd w:fill="FFFFFF"/>
          </w:tcPr>
          <w:p>
            <w:pPr>
              <w:spacing w:after="40"/>
            </w:pPr>
            <w:r/>
            <w:r>
              <w:rPr>
                <w:rFonts w:ascii="Aptos" w:hAnsi="Aptos"/>
                <w:b w:val="0"/>
                <w:color w:val="172033"/>
                <w:sz w:val="17"/>
              </w:rPr>
              <w:t>Whether the implementation reports a valid decoded payload.</w:t>
            </w:r>
          </w:p>
        </w:tc>
        <w:tc>
          <w:tcPr>
            <w:tcW w:type="dxa" w:w="2880"/>
            <w:vAlign w:val="center"/>
            <w:shd w:fill="FFFFFF"/>
          </w:tcPr>
          <w:p>
            <w:pPr>
              <w:spacing w:after="40"/>
            </w:pPr>
            <w:r/>
            <w:r>
              <w:rPr>
                <w:rFonts w:ascii="Aptos" w:hAnsi="Aptos"/>
                <w:b w:val="0"/>
                <w:color w:val="172033"/>
                <w:sz w:val="17"/>
              </w:rPr>
              <w:t>A calibrated probability of authenticity.</w:t>
            </w:r>
          </w:p>
        </w:tc>
      </w:tr>
      <w:tr>
        <w:tc>
          <w:tcPr>
            <w:tcW w:type="dxa" w:w="1944"/>
            <w:vAlign w:val="center"/>
            <w:shd w:fill="F3F6F8"/>
          </w:tcPr>
          <w:p>
            <w:pPr>
              <w:spacing w:after="40"/>
            </w:pPr>
            <w:r/>
            <w:r>
              <w:rPr>
                <w:rFonts w:ascii="Aptos" w:hAnsi="Aptos"/>
                <w:b w:val="0"/>
                <w:color w:val="172033"/>
                <w:sz w:val="17"/>
              </w:rPr>
              <w:t>PSNR / MSE</w:t>
            </w:r>
          </w:p>
        </w:tc>
        <w:tc>
          <w:tcPr>
            <w:tcW w:type="dxa" w:w="4176"/>
            <w:vAlign w:val="center"/>
            <w:shd w:fill="F3F6F8"/>
          </w:tcPr>
          <w:p>
            <w:pPr>
              <w:spacing w:after="40"/>
            </w:pPr>
            <w:r/>
            <w:r>
              <w:rPr>
                <w:rFonts w:ascii="Aptos" w:hAnsi="Aptos"/>
                <w:b w:val="0"/>
                <w:color w:val="172033"/>
                <w:sz w:val="17"/>
              </w:rPr>
              <w:t>Encode quality or distortion measure.</w:t>
            </w:r>
          </w:p>
        </w:tc>
        <w:tc>
          <w:tcPr>
            <w:tcW w:type="dxa" w:w="2880"/>
            <w:vAlign w:val="center"/>
            <w:shd w:fill="F3F6F8"/>
          </w:tcPr>
          <w:p>
            <w:pPr>
              <w:spacing w:after="40"/>
            </w:pPr>
            <w:r/>
            <w:r>
              <w:rPr>
                <w:rFonts w:ascii="Aptos" w:hAnsi="Aptos"/>
                <w:b w:val="0"/>
                <w:color w:val="172033"/>
                <w:sz w:val="17"/>
              </w:rPr>
              <w:t>Robustness or security.</w:t>
            </w:r>
          </w:p>
        </w:tc>
      </w:tr>
    </w:tbl>
    <w:p>
      <w:pPr>
        <w:spacing w:after="20"/>
      </w:pPr>
    </w:p>
    <w:p>
      <w:pPr>
        <w:pStyle w:val="Heading2"/>
        <w:keepNext/>
      </w:pPr>
      <w:r>
        <w:t>Decision rules</w:t>
      </w:r>
    </w:p>
    <w:p>
      <w:r>
        <w:t>Watermark success uses mean bit accuracy above 0.5. Hash success uses a mean bit-error fraction below 0.5. For the ensemble, the hash signal uses the worst-algorithm mean so that a group of stable 64-bit hashes cannot hide a weak member such as PDQ. The matrix records a best method and a fallback for each condition.</w:t>
      </w:r>
    </w:p>
    <w:p>
      <w:pPr>
        <w:spacing w:before="80" w:after="140"/>
        <w:ind w:left="216" w:right="216"/>
      </w:pPr>
      <w:r>
        <w:rPr>
          <w:b/>
        </w:rPr>
        <w:t xml:space="preserve">Important: </w:t>
      </w:r>
      <w:r>
        <w:t>The 0.5 boundary is an explicit analysis convention. It is not a security proof, a user-validated operating point, or a substitute for false-acceptance and false-rejection analysis.</w:t>
      </w:r>
    </w:p>
    <w:p>
      <w:r>
        <w:br w:type="page"/>
      </w:r>
    </w:p>
    <w:p>
      <w:pPr>
        <w:pStyle w:val="Heading1"/>
        <w:keepNext/>
      </w:pPr>
      <w:r>
        <w:t>4. Findings to Present</w:t>
      </w:r>
    </w:p>
    <w:p>
      <w:pPr>
        <w:pStyle w:val="Heading2"/>
        <w:keepNext/>
      </w:pPr>
      <w:r>
        <w:t>Observed pattern</w:t>
      </w:r>
    </w:p>
    <w:p>
      <w:r>
        <w:t>The validated final-run threshold analysis shows a clear split between content-preserving changes and spatial reorganisation. Hash and TrustMark thresholds are not crossed for most tested families, whereas the classical baselines cross the 50% boundary in several important conditions.</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7324D"/>
          </w:tcPr>
          <w:p>
            <w:pPr>
              <w:spacing w:after="40"/>
            </w:pPr>
            <w:r/>
            <w:r>
              <w:rPr>
                <w:rFonts w:ascii="Aptos" w:hAnsi="Aptos"/>
                <w:b/>
                <w:color w:val="FFFFFF"/>
                <w:sz w:val="17"/>
              </w:rPr>
              <w:t>Condition</w:t>
            </w:r>
          </w:p>
        </w:tc>
        <w:tc>
          <w:tcPr>
            <w:tcW w:type="dxa" w:w="6696"/>
            <w:vAlign w:val="center"/>
            <w:shd w:fill="17324D"/>
          </w:tcPr>
          <w:p>
            <w:pPr>
              <w:spacing w:after="40"/>
            </w:pPr>
            <w:r/>
            <w:r>
              <w:rPr>
                <w:rFonts w:ascii="Aptos" w:hAnsi="Aptos"/>
                <w:b/>
                <w:color w:val="FFFFFF"/>
                <w:sz w:val="17"/>
              </w:rPr>
              <w:t>Evidence-led talking point</w:t>
            </w:r>
          </w:p>
        </w:tc>
      </w:tr>
      <w:tr>
        <w:tc>
          <w:tcPr>
            <w:tcW w:type="dxa" w:w="2232"/>
            <w:vAlign w:val="center"/>
            <w:shd w:fill="F3F6F8"/>
          </w:tcPr>
          <w:p>
            <w:pPr>
              <w:spacing w:after="40"/>
            </w:pPr>
            <w:r/>
            <w:r>
              <w:rPr>
                <w:rFonts w:ascii="Aptos" w:hAnsi="Aptos"/>
                <w:b w:val="0"/>
                <w:color w:val="172033"/>
                <w:sz w:val="17"/>
              </w:rPr>
              <w:t>Brightness / contrast</w:t>
            </w:r>
          </w:p>
        </w:tc>
        <w:tc>
          <w:tcPr>
            <w:tcW w:type="dxa" w:w="6696"/>
            <w:vAlign w:val="center"/>
            <w:shd w:fill="F3F6F8"/>
          </w:tcPr>
          <w:p>
            <w:pPr>
              <w:spacing w:after="40"/>
            </w:pPr>
            <w:r/>
            <w:r>
              <w:rPr>
                <w:rFonts w:ascii="Aptos" w:hAnsi="Aptos"/>
                <w:b w:val="0"/>
                <w:color w:val="172033"/>
                <w:sz w:val="17"/>
              </w:rPr>
              <w:t>LSB crosses the 50% boundary at selected mild-to-moderate settings; hash and TrustMark remain below their critical thresholds in the reported table.</w:t>
            </w:r>
          </w:p>
        </w:tc>
      </w:tr>
      <w:tr>
        <w:tc>
          <w:tcPr>
            <w:tcW w:type="dxa" w:w="2232"/>
            <w:vAlign w:val="center"/>
            <w:shd w:fill="FFFFFF"/>
          </w:tcPr>
          <w:p>
            <w:pPr>
              <w:spacing w:after="40"/>
            </w:pPr>
            <w:r/>
            <w:r>
              <w:rPr>
                <w:rFonts w:ascii="Aptos" w:hAnsi="Aptos"/>
                <w:b w:val="0"/>
                <w:color w:val="172033"/>
                <w:sz w:val="17"/>
              </w:rPr>
              <w:t>JPEG compression</w:t>
            </w:r>
          </w:p>
        </w:tc>
        <w:tc>
          <w:tcPr>
            <w:tcW w:type="dxa" w:w="6696"/>
            <w:vAlign w:val="center"/>
            <w:shd w:fill="FFFFFF"/>
          </w:tcPr>
          <w:p>
            <w:pPr>
              <w:spacing w:after="40"/>
            </w:pPr>
            <w:r/>
            <w:r>
              <w:rPr>
                <w:rFonts w:ascii="Aptos" w:hAnsi="Aptos"/>
                <w:b w:val="0"/>
                <w:color w:val="172033"/>
                <w:sz w:val="17"/>
              </w:rPr>
              <w:t>LSB crosses at quality 20; DCT remains the more informative classical comparator in this study.</w:t>
            </w:r>
          </w:p>
        </w:tc>
      </w:tr>
      <w:tr>
        <w:tc>
          <w:tcPr>
            <w:tcW w:type="dxa" w:w="2232"/>
            <w:vAlign w:val="center"/>
            <w:shd w:fill="F3F6F8"/>
          </w:tcPr>
          <w:p>
            <w:pPr>
              <w:spacing w:after="40"/>
            </w:pPr>
            <w:r/>
            <w:r>
              <w:rPr>
                <w:rFonts w:ascii="Aptos" w:hAnsi="Aptos"/>
                <w:b w:val="0"/>
                <w:color w:val="172033"/>
                <w:sz w:val="17"/>
              </w:rPr>
              <w:t>Rotation</w:t>
            </w:r>
          </w:p>
        </w:tc>
        <w:tc>
          <w:tcPr>
            <w:tcW w:type="dxa" w:w="6696"/>
            <w:vAlign w:val="center"/>
            <w:shd w:fill="F3F6F8"/>
          </w:tcPr>
          <w:p>
            <w:pPr>
              <w:spacing w:after="40"/>
            </w:pPr>
            <w:r/>
            <w:r>
              <w:rPr>
                <w:rFonts w:ascii="Aptos" w:hAnsi="Aptos"/>
                <w:b w:val="0"/>
                <w:color w:val="172033"/>
                <w:sz w:val="17"/>
              </w:rPr>
              <w:t>DCT crosses at 1 degree; the worst-hash rule crosses at 70 degrees; LSB crosses at 90 degrees.</w:t>
            </w:r>
          </w:p>
        </w:tc>
      </w:tr>
      <w:tr>
        <w:tc>
          <w:tcPr>
            <w:tcW w:type="dxa" w:w="2232"/>
            <w:vAlign w:val="center"/>
            <w:shd w:fill="FFFFFF"/>
          </w:tcPr>
          <w:p>
            <w:pPr>
              <w:spacing w:after="40"/>
            </w:pPr>
            <w:r/>
            <w:r>
              <w:rPr>
                <w:rFonts w:ascii="Aptos" w:hAnsi="Aptos"/>
                <w:b w:val="0"/>
                <w:color w:val="172033"/>
                <w:sz w:val="17"/>
              </w:rPr>
              <w:t>Scaling</w:t>
            </w:r>
          </w:p>
        </w:tc>
        <w:tc>
          <w:tcPr>
            <w:tcW w:type="dxa" w:w="6696"/>
            <w:vAlign w:val="center"/>
            <w:shd w:fill="FFFFFF"/>
          </w:tcPr>
          <w:p>
            <w:pPr>
              <w:spacing w:after="40"/>
            </w:pPr>
            <w:r/>
            <w:r>
              <w:rPr>
                <w:rFonts w:ascii="Aptos" w:hAnsi="Aptos"/>
                <w:b w:val="0"/>
                <w:color w:val="172033"/>
                <w:sz w:val="17"/>
              </w:rPr>
              <w:t>LSB crosses at 0.25x; DCT crosses at 0.25x, with a non-monotonic worst crossing recorded at 3.0x.</w:t>
            </w:r>
          </w:p>
        </w:tc>
      </w:tr>
      <w:tr>
        <w:tc>
          <w:tcPr>
            <w:tcW w:type="dxa" w:w="2232"/>
            <w:vAlign w:val="center"/>
            <w:shd w:fill="F3F6F8"/>
          </w:tcPr>
          <w:p>
            <w:pPr>
              <w:spacing w:after="40"/>
            </w:pPr>
            <w:r/>
            <w:r>
              <w:rPr>
                <w:rFonts w:ascii="Aptos" w:hAnsi="Aptos"/>
                <w:b w:val="0"/>
                <w:color w:val="172033"/>
                <w:sz w:val="17"/>
              </w:rPr>
              <w:t>Centre crop</w:t>
            </w:r>
          </w:p>
        </w:tc>
        <w:tc>
          <w:tcPr>
            <w:tcW w:type="dxa" w:w="6696"/>
            <w:vAlign w:val="center"/>
            <w:shd w:fill="F3F6F8"/>
          </w:tcPr>
          <w:p>
            <w:pPr>
              <w:spacing w:after="40"/>
            </w:pPr>
            <w:r/>
            <w:r>
              <w:rPr>
                <w:rFonts w:ascii="Aptos" w:hAnsi="Aptos"/>
                <w:b w:val="0"/>
                <w:color w:val="172033"/>
                <w:sz w:val="17"/>
              </w:rPr>
              <w:t>Worst-hash crossing occurs at 0.7 removal; LSB and DCT cross earlier under the tested settings.</w:t>
            </w:r>
          </w:p>
        </w:tc>
      </w:tr>
      <w:tr>
        <w:tc>
          <w:tcPr>
            <w:tcW w:type="dxa" w:w="2232"/>
            <w:vAlign w:val="center"/>
            <w:shd w:fill="FFFFFF"/>
          </w:tcPr>
          <w:p>
            <w:pPr>
              <w:spacing w:after="40"/>
            </w:pPr>
            <w:r/>
            <w:r>
              <w:rPr>
                <w:rFonts w:ascii="Aptos" w:hAnsi="Aptos"/>
                <w:b w:val="0"/>
                <w:color w:val="172033"/>
                <w:sz w:val="17"/>
              </w:rPr>
              <w:t>Random crop</w:t>
            </w:r>
          </w:p>
        </w:tc>
        <w:tc>
          <w:tcPr>
            <w:tcW w:type="dxa" w:w="6696"/>
            <w:vAlign w:val="center"/>
            <w:shd w:fill="FFFFFF"/>
          </w:tcPr>
          <w:p>
            <w:pPr>
              <w:spacing w:after="40"/>
            </w:pPr>
            <w:r/>
            <w:r>
              <w:rPr>
                <w:rFonts w:ascii="Aptos" w:hAnsi="Aptos"/>
                <w:b w:val="0"/>
                <w:color w:val="172033"/>
                <w:sz w:val="17"/>
              </w:rPr>
              <w:t>Worst-hash crossing occurs at 0.6 removal; LSB and DCT cross at lower tested retention levels.</w:t>
            </w:r>
          </w:p>
        </w:tc>
      </w:tr>
      <w:tr>
        <w:tc>
          <w:tcPr>
            <w:tcW w:type="dxa" w:w="2232"/>
            <w:vAlign w:val="center"/>
            <w:shd w:fill="F3F6F8"/>
          </w:tcPr>
          <w:p>
            <w:pPr>
              <w:spacing w:after="40"/>
            </w:pPr>
            <w:r/>
            <w:r>
              <w:rPr>
                <w:rFonts w:ascii="Aptos" w:hAnsi="Aptos"/>
                <w:b w:val="0"/>
                <w:color w:val="172033"/>
                <w:sz w:val="17"/>
              </w:rPr>
              <w:t>Letterbox</w:t>
            </w:r>
          </w:p>
        </w:tc>
        <w:tc>
          <w:tcPr>
            <w:tcW w:type="dxa" w:w="6696"/>
            <w:vAlign w:val="center"/>
            <w:shd w:fill="F3F6F8"/>
          </w:tcPr>
          <w:p>
            <w:pPr>
              <w:spacing w:after="40"/>
            </w:pPr>
            <w:r/>
            <w:r>
              <w:rPr>
                <w:rFonts w:ascii="Aptos" w:hAnsi="Aptos"/>
                <w:b w:val="0"/>
                <w:color w:val="172033"/>
                <w:sz w:val="17"/>
              </w:rPr>
              <w:t>Padding changes layout without removing the source content, making it a useful condition-specific comparison rather than a universal ranking test.</w:t>
            </w:r>
          </w:p>
        </w:tc>
      </w:tr>
    </w:tbl>
    <w:p>
      <w:pPr>
        <w:spacing w:after="20"/>
      </w:pPr>
    </w:p>
    <w:p>
      <w:pPr>
        <w:spacing w:before="100" w:after="60"/>
        <w:jc w:val="center"/>
      </w:pPr>
      <w:r>
        <w:drawing>
          <wp:inline xmlns:a="http://schemas.openxmlformats.org/drawingml/2006/main" xmlns:pic="http://schemas.openxmlformats.org/drawingml/2006/picture">
            <wp:extent cx="5349240" cy="5602079"/>
            <wp:docPr id="3" name="Picture 3"/>
            <wp:cNvGraphicFramePr>
              <a:graphicFrameLocks noChangeAspect="1"/>
            </wp:cNvGraphicFramePr>
            <a:graphic>
              <a:graphicData uri="http://schemas.openxmlformats.org/drawingml/2006/picture">
                <pic:pic>
                  <pic:nvPicPr>
                    <pic:cNvPr id="0" name="ensemble_heatmap.png"/>
                    <pic:cNvPicPr/>
                  </pic:nvPicPr>
                  <pic:blipFill>
                    <a:blip r:embed="rId13"/>
                    <a:stretch>
                      <a:fillRect/>
                    </a:stretch>
                  </pic:blipFill>
                  <pic:spPr>
                    <a:xfrm>
                      <a:off x="0" y="0"/>
                      <a:ext cx="5349240" cy="5602079"/>
                    </a:xfrm>
                    <a:prstGeom prst="rect"/>
                  </pic:spPr>
                </pic:pic>
              </a:graphicData>
            </a:graphic>
          </wp:inline>
        </w:drawing>
      </w:r>
    </w:p>
    <w:p>
      <w:pPr>
        <w:spacing w:after="160"/>
        <w:jc w:val="center"/>
      </w:pPr>
      <w:r>
        <w:rPr>
          <w:rFonts w:ascii="Aptos" w:hAnsi="Aptos"/>
          <w:i/>
          <w:color w:val="425466"/>
          <w:sz w:val="17"/>
        </w:rPr>
        <w:t>Figure 3. Ensemble heatmap showing method choices across transform-intensity conditions. Source: output/figures/ensemble_heatmap.png.</w:t>
      </w:r>
    </w:p>
    <w:p>
      <w:r>
        <w:br w:type="page"/>
      </w:r>
    </w:p>
    <w:p>
      <w:pPr>
        <w:pStyle w:val="Heading1"/>
        <w:keepNext/>
      </w:pPr>
      <w:r>
        <w:t>5. Evidence Walkthrough</w:t>
      </w:r>
    </w:p>
    <w:p>
      <w:pPr>
        <w:pStyle w:val="Heading2"/>
        <w:keepNext/>
      </w:pPr>
      <w:r>
        <w:t>Recommended presentation sequence</w:t>
      </w:r>
    </w:p>
    <w:tbl>
      <w:tblPr>
        <w:tblStyle w:val="TableGrid"/>
        <w:tblW w:type="auto" w:w="0"/>
        <w:jc w:val="center"/>
        <w:tblLook w:firstColumn="1" w:firstRow="1" w:lastColumn="0" w:lastRow="0" w:noHBand="0" w:noVBand="1" w:val="04A0"/>
      </w:tblPr>
      <w:tblGrid>
        <w:gridCol w:w="3331"/>
        <w:gridCol w:w="3331"/>
        <w:gridCol w:w="3331"/>
      </w:tblGrid>
      <w:tr>
        <w:tc>
          <w:tcPr>
            <w:tcW w:type="dxa" w:w="1296"/>
            <w:vAlign w:val="center"/>
            <w:shd w:fill="17324D"/>
          </w:tcPr>
          <w:p>
            <w:pPr>
              <w:spacing w:after="40"/>
            </w:pPr>
            <w:r/>
            <w:r>
              <w:rPr>
                <w:rFonts w:ascii="Aptos" w:hAnsi="Aptos"/>
                <w:b/>
                <w:color w:val="FFFFFF"/>
                <w:sz w:val="17"/>
              </w:rPr>
              <w:t>Stage</w:t>
            </w:r>
          </w:p>
        </w:tc>
        <w:tc>
          <w:tcPr>
            <w:tcW w:type="dxa" w:w="4680"/>
            <w:vAlign w:val="center"/>
            <w:shd w:fill="17324D"/>
          </w:tcPr>
          <w:p>
            <w:pPr>
              <w:spacing w:after="40"/>
            </w:pPr>
            <w:r/>
            <w:r>
              <w:rPr>
                <w:rFonts w:ascii="Aptos" w:hAnsi="Aptos"/>
                <w:b/>
                <w:color w:val="FFFFFF"/>
                <w:sz w:val="17"/>
              </w:rPr>
              <w:t>Show / say</w:t>
            </w:r>
          </w:p>
        </w:tc>
        <w:tc>
          <w:tcPr>
            <w:tcW w:type="dxa" w:w="2952"/>
            <w:vAlign w:val="center"/>
            <w:shd w:fill="17324D"/>
          </w:tcPr>
          <w:p>
            <w:pPr>
              <w:spacing w:after="40"/>
            </w:pPr>
            <w:r/>
            <w:r>
              <w:rPr>
                <w:rFonts w:ascii="Aptos" w:hAnsi="Aptos"/>
                <w:b/>
                <w:color w:val="FFFFFF"/>
                <w:sz w:val="17"/>
              </w:rPr>
              <w:t>Purpose</w:t>
            </w:r>
          </w:p>
        </w:tc>
      </w:tr>
      <w:tr>
        <w:tc>
          <w:tcPr>
            <w:tcW w:type="dxa" w:w="1296"/>
            <w:vAlign w:val="center"/>
            <w:shd w:fill="F3F6F8"/>
          </w:tcPr>
          <w:p>
            <w:pPr>
              <w:spacing w:after="40"/>
            </w:pPr>
            <w:r/>
            <w:r>
              <w:rPr>
                <w:rFonts w:ascii="Aptos" w:hAnsi="Aptos"/>
                <w:b w:val="0"/>
                <w:color w:val="172033"/>
                <w:sz w:val="17"/>
              </w:rPr>
              <w:t>1. Problem</w:t>
            </w:r>
          </w:p>
        </w:tc>
        <w:tc>
          <w:tcPr>
            <w:tcW w:type="dxa" w:w="4680"/>
            <w:vAlign w:val="center"/>
            <w:shd w:fill="F3F6F8"/>
          </w:tcPr>
          <w:p>
            <w:pPr>
              <w:spacing w:after="40"/>
            </w:pPr>
            <w:r/>
            <w:r>
              <w:rPr>
                <w:rFonts w:ascii="Aptos" w:hAnsi="Aptos"/>
                <w:b w:val="0"/>
                <w:color w:val="172033"/>
                <w:sz w:val="17"/>
              </w:rPr>
              <w:t>Show the transform taxonomy; explain routine edits and geometric disruption.</w:t>
            </w:r>
          </w:p>
        </w:tc>
        <w:tc>
          <w:tcPr>
            <w:tcW w:type="dxa" w:w="2952"/>
            <w:vAlign w:val="center"/>
            <w:shd w:fill="F3F6F8"/>
          </w:tcPr>
          <w:p>
            <w:pPr>
              <w:spacing w:after="40"/>
            </w:pPr>
            <w:r/>
            <w:r>
              <w:rPr>
                <w:rFonts w:ascii="Aptos" w:hAnsi="Aptos"/>
                <w:b w:val="0"/>
                <w:color w:val="172033"/>
                <w:sz w:val="17"/>
              </w:rPr>
              <w:t>Establish why robustness matters.</w:t>
            </w:r>
          </w:p>
        </w:tc>
      </w:tr>
      <w:tr>
        <w:tc>
          <w:tcPr>
            <w:tcW w:type="dxa" w:w="1296"/>
            <w:vAlign w:val="center"/>
            <w:shd w:fill="FFFFFF"/>
          </w:tcPr>
          <w:p>
            <w:pPr>
              <w:spacing w:after="40"/>
            </w:pPr>
            <w:r/>
            <w:r>
              <w:rPr>
                <w:rFonts w:ascii="Aptos" w:hAnsi="Aptos"/>
                <w:b w:val="0"/>
                <w:color w:val="172033"/>
                <w:sz w:val="17"/>
              </w:rPr>
              <w:t>2. Design</w:t>
            </w:r>
          </w:p>
        </w:tc>
        <w:tc>
          <w:tcPr>
            <w:tcW w:type="dxa" w:w="4680"/>
            <w:vAlign w:val="center"/>
            <w:shd w:fill="FFFFFF"/>
          </w:tcPr>
          <w:p>
            <w:pPr>
              <w:spacing w:after="40"/>
            </w:pPr>
            <w:r/>
            <w:r>
              <w:rPr>
                <w:rFonts w:ascii="Aptos" w:hAnsi="Aptos"/>
                <w:b w:val="0"/>
                <w:color w:val="172033"/>
                <w:sz w:val="17"/>
              </w:rPr>
              <w:t>Show the shared pipeline and four signal families.</w:t>
            </w:r>
          </w:p>
        </w:tc>
        <w:tc>
          <w:tcPr>
            <w:tcW w:type="dxa" w:w="2952"/>
            <w:vAlign w:val="center"/>
            <w:shd w:fill="FFFFFF"/>
          </w:tcPr>
          <w:p>
            <w:pPr>
              <w:spacing w:after="40"/>
            </w:pPr>
            <w:r/>
            <w:r>
              <w:rPr>
                <w:rFonts w:ascii="Aptos" w:hAnsi="Aptos"/>
                <w:b w:val="0"/>
                <w:color w:val="172033"/>
                <w:sz w:val="17"/>
              </w:rPr>
              <w:t>Make the comparison fair and auditable.</w:t>
            </w:r>
          </w:p>
        </w:tc>
      </w:tr>
      <w:tr>
        <w:tc>
          <w:tcPr>
            <w:tcW w:type="dxa" w:w="1296"/>
            <w:vAlign w:val="center"/>
            <w:shd w:fill="F3F6F8"/>
          </w:tcPr>
          <w:p>
            <w:pPr>
              <w:spacing w:after="40"/>
            </w:pPr>
            <w:r/>
            <w:r>
              <w:rPr>
                <w:rFonts w:ascii="Aptos" w:hAnsi="Aptos"/>
                <w:b w:val="0"/>
                <w:color w:val="172033"/>
                <w:sz w:val="17"/>
              </w:rPr>
              <w:t>3. Metrics</w:t>
            </w:r>
          </w:p>
        </w:tc>
        <w:tc>
          <w:tcPr>
            <w:tcW w:type="dxa" w:w="4680"/>
            <w:vAlign w:val="center"/>
            <w:shd w:fill="F3F6F8"/>
          </w:tcPr>
          <w:p>
            <w:pPr>
              <w:spacing w:after="40"/>
            </w:pPr>
            <w:r/>
            <w:r>
              <w:rPr>
                <w:rFonts w:ascii="Aptos" w:hAnsi="Aptos"/>
                <w:b w:val="0"/>
                <w:color w:val="172033"/>
                <w:sz w:val="17"/>
              </w:rPr>
              <w:t>Explain Hamming distance, raw bit accuracy, decode presence, and PSNR.</w:t>
            </w:r>
          </w:p>
        </w:tc>
        <w:tc>
          <w:tcPr>
            <w:tcW w:type="dxa" w:w="2952"/>
            <w:vAlign w:val="center"/>
            <w:shd w:fill="F3F6F8"/>
          </w:tcPr>
          <w:p>
            <w:pPr>
              <w:spacing w:after="40"/>
            </w:pPr>
            <w:r/>
            <w:r>
              <w:rPr>
                <w:rFonts w:ascii="Aptos" w:hAnsi="Aptos"/>
                <w:b w:val="0"/>
                <w:color w:val="172033"/>
                <w:sz w:val="17"/>
              </w:rPr>
              <w:t>Prevent metric overclaiming.</w:t>
            </w:r>
          </w:p>
        </w:tc>
      </w:tr>
      <w:tr>
        <w:tc>
          <w:tcPr>
            <w:tcW w:type="dxa" w:w="1296"/>
            <w:vAlign w:val="center"/>
            <w:shd w:fill="FFFFFF"/>
          </w:tcPr>
          <w:p>
            <w:pPr>
              <w:spacing w:after="40"/>
            </w:pPr>
            <w:r/>
            <w:r>
              <w:rPr>
                <w:rFonts w:ascii="Aptos" w:hAnsi="Aptos"/>
                <w:b w:val="0"/>
                <w:color w:val="172033"/>
                <w:sz w:val="17"/>
              </w:rPr>
              <w:t>4. Results</w:t>
            </w:r>
          </w:p>
        </w:tc>
        <w:tc>
          <w:tcPr>
            <w:tcW w:type="dxa" w:w="4680"/>
            <w:vAlign w:val="center"/>
            <w:shd w:fill="FFFFFF"/>
          </w:tcPr>
          <w:p>
            <w:pPr>
              <w:spacing w:after="40"/>
            </w:pPr>
            <w:r/>
            <w:r>
              <w:rPr>
                <w:rFonts w:ascii="Aptos" w:hAnsi="Aptos"/>
                <w:b w:val="0"/>
                <w:color w:val="172033"/>
                <w:sz w:val="17"/>
              </w:rPr>
              <w:t>Use the method comparison and heatmap to contrast failure regions.</w:t>
            </w:r>
          </w:p>
        </w:tc>
        <w:tc>
          <w:tcPr>
            <w:tcW w:type="dxa" w:w="2952"/>
            <w:vAlign w:val="center"/>
            <w:shd w:fill="FFFFFF"/>
          </w:tcPr>
          <w:p>
            <w:pPr>
              <w:spacing w:after="40"/>
            </w:pPr>
            <w:r/>
            <w:r>
              <w:rPr>
                <w:rFonts w:ascii="Aptos" w:hAnsi="Aptos"/>
                <w:b w:val="0"/>
                <w:color w:val="172033"/>
                <w:sz w:val="17"/>
              </w:rPr>
              <w:t>Make complementarity visible.</w:t>
            </w:r>
          </w:p>
        </w:tc>
      </w:tr>
      <w:tr>
        <w:tc>
          <w:tcPr>
            <w:tcW w:type="dxa" w:w="1296"/>
            <w:vAlign w:val="center"/>
            <w:shd w:fill="F3F6F8"/>
          </w:tcPr>
          <w:p>
            <w:pPr>
              <w:spacing w:after="40"/>
            </w:pPr>
            <w:r/>
            <w:r>
              <w:rPr>
                <w:rFonts w:ascii="Aptos" w:hAnsi="Aptos"/>
                <w:b w:val="0"/>
                <w:color w:val="172033"/>
                <w:sz w:val="17"/>
              </w:rPr>
              <w:t>5. Dashboard</w:t>
            </w:r>
          </w:p>
        </w:tc>
        <w:tc>
          <w:tcPr>
            <w:tcW w:type="dxa" w:w="4680"/>
            <w:vAlign w:val="center"/>
            <w:shd w:fill="F3F6F8"/>
          </w:tcPr>
          <w:p>
            <w:pPr>
              <w:spacing w:after="40"/>
            </w:pPr>
            <w:r/>
            <w:r>
              <w:rPr>
                <w:rFonts w:ascii="Aptos" w:hAnsi="Aptos"/>
                <w:b w:val="0"/>
                <w:color w:val="172033"/>
                <w:sz w:val="17"/>
              </w:rPr>
              <w:t>Open overview, per-transform, ensemble, and per-image views.</w:t>
            </w:r>
          </w:p>
        </w:tc>
        <w:tc>
          <w:tcPr>
            <w:tcW w:type="dxa" w:w="2952"/>
            <w:vAlign w:val="center"/>
            <w:shd w:fill="F3F6F8"/>
          </w:tcPr>
          <w:p>
            <w:pPr>
              <w:spacing w:after="40"/>
            </w:pPr>
            <w:r/>
            <w:r>
              <w:rPr>
                <w:rFonts w:ascii="Aptos" w:hAnsi="Aptos"/>
                <w:b w:val="0"/>
                <w:color w:val="172033"/>
                <w:sz w:val="17"/>
              </w:rPr>
              <w:t>Move from aggregate pattern to row-level evidence.</w:t>
            </w:r>
          </w:p>
        </w:tc>
      </w:tr>
      <w:tr>
        <w:tc>
          <w:tcPr>
            <w:tcW w:type="dxa" w:w="1296"/>
            <w:vAlign w:val="center"/>
            <w:shd w:fill="FFFFFF"/>
          </w:tcPr>
          <w:p>
            <w:pPr>
              <w:spacing w:after="40"/>
            </w:pPr>
            <w:r/>
            <w:r>
              <w:rPr>
                <w:rFonts w:ascii="Aptos" w:hAnsi="Aptos"/>
                <w:b w:val="0"/>
                <w:color w:val="172033"/>
                <w:sz w:val="17"/>
              </w:rPr>
              <w:t>6. Boundary</w:t>
            </w:r>
          </w:p>
        </w:tc>
        <w:tc>
          <w:tcPr>
            <w:tcW w:type="dxa" w:w="4680"/>
            <w:vAlign w:val="center"/>
            <w:shd w:fill="FFFFFF"/>
          </w:tcPr>
          <w:p>
            <w:pPr>
              <w:spacing w:after="40"/>
            </w:pPr>
            <w:r/>
            <w:r>
              <w:rPr>
                <w:rFonts w:ascii="Aptos" w:hAnsi="Aptos"/>
                <w:b w:val="0"/>
                <w:color w:val="172033"/>
                <w:sz w:val="17"/>
              </w:rPr>
              <w:t>State what the results do not establish.</w:t>
            </w:r>
          </w:p>
        </w:tc>
        <w:tc>
          <w:tcPr>
            <w:tcW w:type="dxa" w:w="2952"/>
            <w:vAlign w:val="center"/>
            <w:shd w:fill="FFFFFF"/>
          </w:tcPr>
          <w:p>
            <w:pPr>
              <w:spacing w:after="40"/>
            </w:pPr>
            <w:r/>
            <w:r>
              <w:rPr>
                <w:rFonts w:ascii="Aptos" w:hAnsi="Aptos"/>
                <w:b w:val="0"/>
                <w:color w:val="172033"/>
                <w:sz w:val="17"/>
              </w:rPr>
              <w:t>Close with defensible interpretation.</w:t>
            </w:r>
          </w:p>
        </w:tc>
      </w:tr>
    </w:tbl>
    <w:p>
      <w:pPr>
        <w:spacing w:after="20"/>
      </w:pPr>
    </w:p>
    <w:p>
      <w:pPr>
        <w:pStyle w:val="Heading2"/>
        <w:keepNext/>
      </w:pPr>
      <w:r>
        <w:t>Dashboard demonstration</w:t>
      </w:r>
    </w:p>
    <w:p>
      <w:r>
        <w:t>The dashboard is a research visualisation backed by CSV result files. The overview summarises coverage; the per-transform view shows method behaviour against intensity; the ensemble matrix exposes best and fallback choices; and the per-image view supports row-level inspection. It should be described as an evidence browser, not as a production signing service.</w:t>
      </w:r>
    </w:p>
    <w:p>
      <w:pPr>
        <w:spacing w:before="100" w:after="60"/>
        <w:jc w:val="center"/>
      </w:pPr>
      <w:r>
        <w:drawing>
          <wp:inline xmlns:a="http://schemas.openxmlformats.org/drawingml/2006/main" xmlns:pic="http://schemas.openxmlformats.org/drawingml/2006/picture">
            <wp:extent cx="5257800" cy="3468688"/>
            <wp:docPr id="4" name="Picture 4"/>
            <wp:cNvGraphicFramePr>
              <a:graphicFrameLocks noChangeAspect="1"/>
            </wp:cNvGraphicFramePr>
            <a:graphic>
              <a:graphicData uri="http://schemas.openxmlformats.org/drawingml/2006/picture">
                <pic:pic>
                  <pic:nvPicPr>
                    <pic:cNvPr id="0" name="dashboard_fig2_interface.png"/>
                    <pic:cNvPicPr/>
                  </pic:nvPicPr>
                  <pic:blipFill>
                    <a:blip r:embed="rId14"/>
                    <a:stretch>
                      <a:fillRect/>
                    </a:stretch>
                  </pic:blipFill>
                  <pic:spPr>
                    <a:xfrm>
                      <a:off x="0" y="0"/>
                      <a:ext cx="5257800" cy="3468688"/>
                    </a:xfrm>
                    <a:prstGeom prst="rect"/>
                  </pic:spPr>
                </pic:pic>
              </a:graphicData>
            </a:graphic>
          </wp:inline>
        </w:drawing>
      </w:r>
    </w:p>
    <w:p>
      <w:pPr>
        <w:spacing w:after="160"/>
        <w:jc w:val="center"/>
      </w:pPr>
      <w:r>
        <w:rPr>
          <w:rFonts w:ascii="Aptos" w:hAnsi="Aptos"/>
          <w:i/>
          <w:color w:val="425466"/>
          <w:sz w:val="17"/>
        </w:rPr>
        <w:t>Figure 4. Dashboard interface for navigating the benchmark evidence. Source: output/figures/dashboard_fig2_interface.png.</w:t>
      </w:r>
    </w:p>
    <w:p>
      <w:pPr>
        <w:spacing w:before="100" w:after="60"/>
        <w:jc w:val="center"/>
      </w:pPr>
      <w:r>
        <w:drawing>
          <wp:inline xmlns:a="http://schemas.openxmlformats.org/drawingml/2006/main" xmlns:pic="http://schemas.openxmlformats.org/drawingml/2006/picture">
            <wp:extent cx="5257800" cy="3597698"/>
            <wp:docPr id="5" name="Picture 5"/>
            <wp:cNvGraphicFramePr>
              <a:graphicFrameLocks noChangeAspect="1"/>
            </wp:cNvGraphicFramePr>
            <a:graphic>
              <a:graphicData uri="http://schemas.openxmlformats.org/drawingml/2006/picture">
                <pic:pic>
                  <pic:nvPicPr>
                    <pic:cNvPr id="0" name="dashboard_fig4_verify_hybrid.png"/>
                    <pic:cNvPicPr/>
                  </pic:nvPicPr>
                  <pic:blipFill>
                    <a:blip r:embed="rId15"/>
                    <a:stretch>
                      <a:fillRect/>
                    </a:stretch>
                  </pic:blipFill>
                  <pic:spPr>
                    <a:xfrm>
                      <a:off x="0" y="0"/>
                      <a:ext cx="5257800" cy="3597698"/>
                    </a:xfrm>
                    <a:prstGeom prst="rect"/>
                  </pic:spPr>
                </pic:pic>
              </a:graphicData>
            </a:graphic>
          </wp:inline>
        </w:drawing>
      </w:r>
    </w:p>
    <w:p>
      <w:pPr>
        <w:spacing w:after="160"/>
        <w:jc w:val="center"/>
      </w:pPr>
      <w:r>
        <w:rPr>
          <w:rFonts w:ascii="Aptos" w:hAnsi="Aptos"/>
          <w:i/>
          <w:color w:val="425466"/>
          <w:sz w:val="17"/>
        </w:rPr>
        <w:t>Figure 5. Hybrid verification view illustrating complementary signal inspection. Source: output/figures/dashboard_fig4_verify_hybrid.png.</w:t>
      </w:r>
    </w:p>
    <w:p>
      <w:r>
        <w:br w:type="page"/>
      </w:r>
    </w:p>
    <w:p>
      <w:pPr>
        <w:pStyle w:val="Heading1"/>
        <w:keepNext/>
      </w:pPr>
      <w:r>
        <w:t>6. Quality, Corrections, and Reproducibility</w:t>
      </w:r>
    </w:p>
    <w:p>
      <w:pPr>
        <w:pStyle w:val="Heading2"/>
        <w:keepNext/>
      </w:pPr>
      <w:r>
        <w:t>Quality controls</w:t>
      </w:r>
    </w:p>
    <w:p>
      <w:pPr>
        <w:pStyle w:val="ListBullet"/>
        <w:spacing w:after="60"/>
      </w:pPr>
      <w:r>
        <w:t>The transform definitions are centralised in `transforms.py`, reducing configuration drift between pipelines.</w:t>
      </w:r>
    </w:p>
    <w:p>
      <w:pPr>
        <w:pStyle w:val="ListBullet"/>
        <w:spacing w:after="60"/>
      </w:pPr>
      <w:r>
        <w:t>Image selection and random transform seeds are deterministic and recorded in project evidence.</w:t>
      </w:r>
    </w:p>
    <w:p>
      <w:pPr>
        <w:pStyle w:val="ListBullet"/>
        <w:spacing w:after="60"/>
      </w:pPr>
      <w:r>
        <w:t>Validation checks coverage, expected rows, duplicate keys, missing values, and baseline records before interpretation.</w:t>
      </w:r>
    </w:p>
    <w:p>
      <w:pPr>
        <w:pStyle w:val="ListBullet"/>
        <w:spacing w:after="60"/>
      </w:pPr>
      <w:r>
        <w:t>Raw CSV outputs are retained separately from summary tables and dashboard views.</w:t>
      </w:r>
    </w:p>
    <w:p>
      <w:pPr>
        <w:pStyle w:val="ListBullet"/>
        <w:spacing w:after="60"/>
      </w:pPr>
      <w:r>
        <w:t>Uncertainty summaries use image-level aggregation, a fixed-seed percentile bootstrap for continuous metrics, and Wilson intervals for decode proportions.</w:t>
      </w:r>
    </w:p>
    <w:p>
      <w:pPr>
        <w:pStyle w:val="Heading2"/>
        <w:keepNext/>
      </w:pPr>
      <w:r>
        <w:t>Corrections that matter</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7324D"/>
          </w:tcPr>
          <w:p>
            <w:pPr>
              <w:spacing w:after="40"/>
            </w:pPr>
            <w:r/>
            <w:r>
              <w:rPr>
                <w:rFonts w:ascii="Aptos" w:hAnsi="Aptos"/>
                <w:b/>
                <w:color w:val="FFFFFF"/>
                <w:sz w:val="17"/>
              </w:rPr>
              <w:t>Correction</w:t>
            </w:r>
          </w:p>
        </w:tc>
        <w:tc>
          <w:tcPr>
            <w:tcW w:type="dxa" w:w="6696"/>
            <w:vAlign w:val="center"/>
            <w:shd w:fill="17324D"/>
          </w:tcPr>
          <w:p>
            <w:pPr>
              <w:spacing w:after="40"/>
            </w:pPr>
            <w:r/>
            <w:r>
              <w:rPr>
                <w:rFonts w:ascii="Aptos" w:hAnsi="Aptos"/>
                <w:b/>
                <w:color w:val="FFFFFF"/>
                <w:sz w:val="17"/>
              </w:rPr>
              <w:t>Why it changes interpretation</w:t>
            </w:r>
          </w:p>
        </w:tc>
      </w:tr>
      <w:tr>
        <w:tc>
          <w:tcPr>
            <w:tcW w:type="dxa" w:w="2232"/>
            <w:vAlign w:val="center"/>
            <w:shd w:fill="F3F6F8"/>
          </w:tcPr>
          <w:p>
            <w:pPr>
              <w:spacing w:after="40"/>
            </w:pPr>
            <w:r/>
            <w:r>
              <w:rPr>
                <w:rFonts w:ascii="Aptos" w:hAnsi="Aptos"/>
                <w:b w:val="0"/>
                <w:color w:val="172033"/>
                <w:sz w:val="17"/>
              </w:rPr>
              <w:t>PDQ serialisation</w:t>
            </w:r>
          </w:p>
        </w:tc>
        <w:tc>
          <w:tcPr>
            <w:tcW w:type="dxa" w:w="6696"/>
            <w:vAlign w:val="center"/>
            <w:shd w:fill="F3F6F8"/>
          </w:tcPr>
          <w:p>
            <w:pPr>
              <w:spacing w:after="40"/>
            </w:pPr>
            <w:r/>
            <w:r>
              <w:rPr>
                <w:rFonts w:ascii="Aptos" w:hAnsi="Aptos"/>
                <w:b w:val="0"/>
                <w:color w:val="172033"/>
                <w:sz w:val="17"/>
              </w:rPr>
              <w:t>Each dimension is represented as one bit rather than an incorrect multi-character representation.</w:t>
            </w:r>
          </w:p>
        </w:tc>
      </w:tr>
      <w:tr>
        <w:tc>
          <w:tcPr>
            <w:tcW w:type="dxa" w:w="2232"/>
            <w:vAlign w:val="center"/>
            <w:shd w:fill="FFFFFF"/>
          </w:tcPr>
          <w:p>
            <w:pPr>
              <w:spacing w:after="40"/>
            </w:pPr>
            <w:r/>
            <w:r>
              <w:rPr>
                <w:rFonts w:ascii="Aptos" w:hAnsi="Aptos"/>
                <w:b w:val="0"/>
                <w:color w:val="172033"/>
                <w:sz w:val="17"/>
              </w:rPr>
              <w:t>TrustMark metric</w:t>
            </w:r>
          </w:p>
        </w:tc>
        <w:tc>
          <w:tcPr>
            <w:tcW w:type="dxa" w:w="6696"/>
            <w:vAlign w:val="center"/>
            <w:shd w:fill="FFFFFF"/>
          </w:tcPr>
          <w:p>
            <w:pPr>
              <w:spacing w:after="40"/>
            </w:pPr>
            <w:r/>
            <w:r>
              <w:rPr>
                <w:rFonts w:ascii="Aptos" w:hAnsi="Aptos"/>
                <w:b w:val="0"/>
                <w:color w:val="172033"/>
                <w:sz w:val="17"/>
              </w:rPr>
              <w:t>Raw decoder output before error correction is measured separately from exact decoded-payload presence.</w:t>
            </w:r>
          </w:p>
        </w:tc>
      </w:tr>
      <w:tr>
        <w:tc>
          <w:tcPr>
            <w:tcW w:type="dxa" w:w="2232"/>
            <w:vAlign w:val="center"/>
            <w:shd w:fill="F3F6F8"/>
          </w:tcPr>
          <w:p>
            <w:pPr>
              <w:spacing w:after="40"/>
            </w:pPr>
            <w:r/>
            <w:r>
              <w:rPr>
                <w:rFonts w:ascii="Aptos" w:hAnsi="Aptos"/>
                <w:b w:val="0"/>
                <w:color w:val="172033"/>
                <w:sz w:val="17"/>
              </w:rPr>
              <w:t>Sample-size boundary</w:t>
            </w:r>
          </w:p>
        </w:tc>
        <w:tc>
          <w:tcPr>
            <w:tcW w:type="dxa" w:w="6696"/>
            <w:vAlign w:val="center"/>
            <w:shd w:fill="F3F6F8"/>
          </w:tcPr>
          <w:p>
            <w:pPr>
              <w:spacing w:after="40"/>
            </w:pPr>
            <w:r/>
            <w:r>
              <w:rPr>
                <w:rFonts w:ascii="Aptos" w:hAnsi="Aptos"/>
                <w:b w:val="0"/>
                <w:color w:val="172033"/>
                <w:sz w:val="17"/>
              </w:rPr>
              <w:t>Configured inventory and runners are not treated as completed evidence until all pipelines pass validation.</w:t>
            </w:r>
          </w:p>
        </w:tc>
      </w:tr>
    </w:tbl>
    <w:p>
      <w:pPr>
        <w:spacing w:after="20"/>
      </w:pPr>
    </w:p>
    <w:p>
      <w:pPr>
        <w:pStyle w:val="Heading2"/>
        <w:keepNext/>
      </w:pPr>
      <w:r>
        <w:t>Reproducibility checklist</w:t>
      </w:r>
    </w:p>
    <w:tbl>
      <w:tblPr>
        <w:tblStyle w:val="TableGrid"/>
        <w:tblW w:type="auto" w:w="0"/>
        <w:jc w:val="center"/>
        <w:tblLook w:firstColumn="1" w:firstRow="1" w:lastColumn="0" w:lastRow="0" w:noHBand="0" w:noVBand="1" w:val="04A0"/>
      </w:tblPr>
      <w:tblGrid>
        <w:gridCol w:w="4997"/>
        <w:gridCol w:w="4997"/>
      </w:tblGrid>
      <w:tr>
        <w:tc>
          <w:tcPr>
            <w:tcW w:type="dxa" w:w="1944"/>
            <w:vAlign w:val="center"/>
            <w:shd w:fill="17324D"/>
          </w:tcPr>
          <w:p>
            <w:pPr>
              <w:spacing w:after="40"/>
            </w:pPr>
            <w:r/>
            <w:r>
              <w:rPr>
                <w:rFonts w:ascii="Aptos" w:hAnsi="Aptos"/>
                <w:b/>
                <w:color w:val="FFFFFF"/>
                <w:sz w:val="17"/>
              </w:rPr>
              <w:t>Check</w:t>
            </w:r>
          </w:p>
        </w:tc>
        <w:tc>
          <w:tcPr>
            <w:tcW w:type="dxa" w:w="6984"/>
            <w:vAlign w:val="center"/>
            <w:shd w:fill="17324D"/>
          </w:tcPr>
          <w:p>
            <w:pPr>
              <w:spacing w:after="40"/>
            </w:pPr>
            <w:r/>
            <w:r>
              <w:rPr>
                <w:rFonts w:ascii="Aptos" w:hAnsi="Aptos"/>
                <w:b/>
                <w:color w:val="FFFFFF"/>
                <w:sz w:val="17"/>
              </w:rPr>
              <w:t>Evidence to retain</w:t>
            </w:r>
          </w:p>
        </w:tc>
      </w:tr>
      <w:tr>
        <w:tc>
          <w:tcPr>
            <w:tcW w:type="dxa" w:w="1944"/>
            <w:vAlign w:val="center"/>
            <w:shd w:fill="F3F6F8"/>
          </w:tcPr>
          <w:p>
            <w:pPr>
              <w:spacing w:after="40"/>
            </w:pPr>
            <w:r/>
            <w:r>
              <w:rPr>
                <w:rFonts w:ascii="Aptos" w:hAnsi="Aptos"/>
                <w:b w:val="0"/>
                <w:color w:val="172033"/>
                <w:sz w:val="17"/>
              </w:rPr>
              <w:t>Inputs</w:t>
            </w:r>
          </w:p>
        </w:tc>
        <w:tc>
          <w:tcPr>
            <w:tcW w:type="dxa" w:w="6984"/>
            <w:vAlign w:val="center"/>
            <w:shd w:fill="F3F6F8"/>
          </w:tcPr>
          <w:p>
            <w:pPr>
              <w:spacing w:after="40"/>
            </w:pPr>
            <w:r/>
            <w:r>
              <w:rPr>
                <w:rFonts w:ascii="Aptos" w:hAnsi="Aptos"/>
                <w:b w:val="0"/>
                <w:color w:val="172033"/>
                <w:sz w:val="17"/>
              </w:rPr>
              <w:t>Image manifest, dataset description, and checksums where practicable.</w:t>
            </w:r>
          </w:p>
        </w:tc>
      </w:tr>
      <w:tr>
        <w:tc>
          <w:tcPr>
            <w:tcW w:type="dxa" w:w="1944"/>
            <w:vAlign w:val="center"/>
            <w:shd w:fill="FFFFFF"/>
          </w:tcPr>
          <w:p>
            <w:pPr>
              <w:spacing w:after="40"/>
            </w:pPr>
            <w:r/>
            <w:r>
              <w:rPr>
                <w:rFonts w:ascii="Aptos" w:hAnsi="Aptos"/>
                <w:b w:val="0"/>
                <w:color w:val="172033"/>
                <w:sz w:val="17"/>
              </w:rPr>
              <w:t>Environment</w:t>
            </w:r>
          </w:p>
        </w:tc>
        <w:tc>
          <w:tcPr>
            <w:tcW w:type="dxa" w:w="6984"/>
            <w:vAlign w:val="center"/>
            <w:shd w:fill="FFFFFF"/>
          </w:tcPr>
          <w:p>
            <w:pPr>
              <w:spacing w:after="40"/>
            </w:pPr>
            <w:r/>
            <w:r>
              <w:rPr>
                <w:rFonts w:ascii="Aptos" w:hAnsi="Aptos"/>
                <w:b w:val="0"/>
                <w:color w:val="172033"/>
                <w:sz w:val="17"/>
              </w:rPr>
              <w:t>Package versions, model version, operating environment, and pipeline version.</w:t>
            </w:r>
          </w:p>
        </w:tc>
      </w:tr>
      <w:tr>
        <w:tc>
          <w:tcPr>
            <w:tcW w:type="dxa" w:w="1944"/>
            <w:vAlign w:val="center"/>
            <w:shd w:fill="F3F6F8"/>
          </w:tcPr>
          <w:p>
            <w:pPr>
              <w:spacing w:after="40"/>
            </w:pPr>
            <w:r/>
            <w:r>
              <w:rPr>
                <w:rFonts w:ascii="Aptos" w:hAnsi="Aptos"/>
                <w:b w:val="0"/>
                <w:color w:val="172033"/>
                <w:sz w:val="17"/>
              </w:rPr>
              <w:t>Execution</w:t>
            </w:r>
          </w:p>
        </w:tc>
        <w:tc>
          <w:tcPr>
            <w:tcW w:type="dxa" w:w="6984"/>
            <w:vAlign w:val="center"/>
            <w:shd w:fill="F3F6F8"/>
          </w:tcPr>
          <w:p>
            <w:pPr>
              <w:spacing w:after="40"/>
            </w:pPr>
            <w:r/>
            <w:r>
              <w:rPr>
                <w:rFonts w:ascii="Aptos" w:hAnsi="Aptos"/>
                <w:b w:val="0"/>
                <w:color w:val="172033"/>
                <w:sz w:val="17"/>
              </w:rPr>
              <w:t>Run log, command arguments, output paths, and validation result.</w:t>
            </w:r>
          </w:p>
        </w:tc>
      </w:tr>
      <w:tr>
        <w:tc>
          <w:tcPr>
            <w:tcW w:type="dxa" w:w="1944"/>
            <w:vAlign w:val="center"/>
            <w:shd w:fill="FFFFFF"/>
          </w:tcPr>
          <w:p>
            <w:pPr>
              <w:spacing w:after="40"/>
            </w:pPr>
            <w:r/>
            <w:r>
              <w:rPr>
                <w:rFonts w:ascii="Aptos" w:hAnsi="Aptos"/>
                <w:b w:val="0"/>
                <w:color w:val="172033"/>
                <w:sz w:val="17"/>
              </w:rPr>
              <w:t>Analysis</w:t>
            </w:r>
          </w:p>
        </w:tc>
        <w:tc>
          <w:tcPr>
            <w:tcW w:type="dxa" w:w="6984"/>
            <w:vAlign w:val="center"/>
            <w:shd w:fill="FFFFFF"/>
          </w:tcPr>
          <w:p>
            <w:pPr>
              <w:spacing w:after="40"/>
            </w:pPr>
            <w:r/>
            <w:r>
              <w:rPr>
                <w:rFonts w:ascii="Aptos" w:hAnsi="Aptos"/>
                <w:b w:val="0"/>
                <w:color w:val="172033"/>
                <w:sz w:val="17"/>
              </w:rPr>
              <w:t>Generating scripts, threshold definitions, aggregation rules, and figure sources.</w:t>
            </w:r>
          </w:p>
        </w:tc>
      </w:tr>
      <w:tr>
        <w:tc>
          <w:tcPr>
            <w:tcW w:type="dxa" w:w="1944"/>
            <w:vAlign w:val="center"/>
            <w:shd w:fill="F3F6F8"/>
          </w:tcPr>
          <w:p>
            <w:pPr>
              <w:spacing w:after="40"/>
            </w:pPr>
            <w:r/>
            <w:r>
              <w:rPr>
                <w:rFonts w:ascii="Aptos" w:hAnsi="Aptos"/>
                <w:b w:val="0"/>
                <w:color w:val="172033"/>
                <w:sz w:val="17"/>
              </w:rPr>
              <w:t>Interpretation</w:t>
            </w:r>
          </w:p>
        </w:tc>
        <w:tc>
          <w:tcPr>
            <w:tcW w:type="dxa" w:w="6984"/>
            <w:vAlign w:val="center"/>
            <w:shd w:fill="F3F6F8"/>
          </w:tcPr>
          <w:p>
            <w:pPr>
              <w:spacing w:after="40"/>
            </w:pPr>
            <w:r/>
            <w:r>
              <w:rPr>
                <w:rFonts w:ascii="Aptos" w:hAnsi="Aptos"/>
                <w:b w:val="0"/>
                <w:color w:val="172033"/>
                <w:sz w:val="17"/>
              </w:rPr>
              <w:t>Explicit sample size, uncertainty method, and limitations in every result context.</w:t>
            </w:r>
          </w:p>
        </w:tc>
      </w:tr>
    </w:tbl>
    <w:p>
      <w:pPr>
        <w:spacing w:after="20"/>
      </w:pPr>
    </w:p>
    <w:p>
      <w:pPr>
        <w:spacing w:before="100" w:after="60"/>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fpr_payload_ecc_dev_sweep.png"/>
                    <pic:cNvPicPr/>
                  </pic:nvPicPr>
                  <pic:blipFill>
                    <a:blip r:embed="rId16"/>
                    <a:stretch>
                      <a:fillRect/>
                    </a:stretch>
                  </pic:blipFill>
                  <pic:spPr>
                    <a:xfrm>
                      <a:off x="0" y="0"/>
                      <a:ext cx="5303520" cy="2651760"/>
                    </a:xfrm>
                    <a:prstGeom prst="rect"/>
                  </pic:spPr>
                </pic:pic>
              </a:graphicData>
            </a:graphic>
          </wp:inline>
        </w:drawing>
      </w:r>
    </w:p>
    <w:p>
      <w:pPr>
        <w:spacing w:after="160"/>
        <w:jc w:val="center"/>
      </w:pPr>
      <w:r>
        <w:rPr>
          <w:rFonts w:ascii="Aptos" w:hAnsi="Aptos"/>
          <w:i/>
          <w:color w:val="425466"/>
          <w:sz w:val="17"/>
        </w:rPr>
        <w:t>Figure 6. Payload and error-correction development sweep used to motivate configuration choices. Source: output/figures/fpr_payload_ecc_dev_sweep.png.</w:t>
      </w:r>
    </w:p>
    <w:p>
      <w:r>
        <w:br w:type="page"/>
      </w:r>
    </w:p>
    <w:p>
      <w:pPr>
        <w:pStyle w:val="Heading1"/>
        <w:keepNext/>
      </w:pPr>
      <w:r>
        <w:t>7. Limitations and Responsible Use</w:t>
      </w:r>
    </w:p>
    <w:p>
      <w:pPr>
        <w:pStyle w:val="Heading2"/>
        <w:keepNext/>
      </w:pPr>
      <w:r>
        <w:t>Current limitations</w:t>
      </w:r>
    </w:p>
    <w:p>
      <w:pPr>
        <w:pStyle w:val="ListBullet"/>
        <w:spacing w:after="60"/>
      </w:pPr>
      <w:r>
        <w:t>The evidence is tied to the selected MS-COCO images and does not establish performance on medical, synthetic, text-heavy, or customer imagery.</w:t>
      </w:r>
    </w:p>
    <w:p>
      <w:pPr>
        <w:pStyle w:val="ListBullet"/>
        <w:spacing w:after="60"/>
      </w:pPr>
      <w:r>
        <w:t>The transformations are isolated. Compound, adaptive, and adversarial attacks are outside the demonstrated scope.</w:t>
      </w:r>
    </w:p>
    <w:p>
      <w:pPr>
        <w:pStyle w:val="ListBullet"/>
        <w:spacing w:after="60"/>
      </w:pPr>
      <w:r>
        <w:t>Only the configured TrustMark implementation and payload are evaluated; other models, payload sizes, and keys may behave differently.</w:t>
      </w:r>
    </w:p>
    <w:p>
      <w:pPr>
        <w:pStyle w:val="ListBullet"/>
        <w:spacing w:after="60"/>
      </w:pPr>
      <w:r>
        <w:t>The ensemble matrix reports thresholded comparative evidence, not calibrated authentication accuracy or decision cost.</w:t>
      </w:r>
    </w:p>
    <w:p>
      <w:pPr>
        <w:pStyle w:val="ListBullet"/>
        <w:spacing w:after="60"/>
      </w:pPr>
      <w:r>
        <w:t>The dashboard is CSV-backed. A migration script does not demonstrate a deployed, secured database service.</w:t>
      </w:r>
    </w:p>
    <w:p>
      <w:pPr>
        <w:pStyle w:val="ListBullet"/>
        <w:spacing w:after="60"/>
      </w:pPr>
      <w:r>
        <w:t>C2PA manifests, certificates, signed claims, key management, identity, and a trust chain are not implemented by this benchmark.</w:t>
      </w:r>
    </w:p>
    <w:p>
      <w:pPr>
        <w:pStyle w:val="Heading2"/>
        <w:keepNext/>
      </w:pPr>
      <w:r>
        <w:t>Ethics and professional responsibility</w:t>
      </w:r>
    </w:p>
    <w:p>
      <w:r>
        <w:t>The study uses a public research image dataset and does not recruit participants or collect new personal data. Public availability does not remove rights, privacy, or misuse considerations: images may depict recognisable people or copyrighted material. Future payloads containing identifiers, locations, or timestamps would require a documented purpose, lawful basis, retention policy, access control, and deletion process.</w:t>
      </w:r>
    </w:p>
    <w:p>
      <w:pPr>
        <w:pStyle w:val="Heading2"/>
        <w:keepNext/>
      </w:pPr>
      <w:r>
        <w:t>Safe wording</w:t>
      </w:r>
    </w:p>
    <w:tbl>
      <w:tblPr>
        <w:tblStyle w:val="TableGrid"/>
        <w:tblW w:type="auto" w:w="0"/>
        <w:jc w:val="center"/>
        <w:tblLook w:firstColumn="1" w:firstRow="1" w:lastColumn="0" w:lastRow="0" w:noHBand="0" w:noVBand="1" w:val="04A0"/>
      </w:tblPr>
      <w:tblGrid>
        <w:gridCol w:w="4997"/>
        <w:gridCol w:w="4997"/>
      </w:tblGrid>
      <w:tr>
        <w:tc>
          <w:tcPr>
            <w:tcW w:type="dxa" w:w="4464"/>
            <w:vAlign w:val="center"/>
            <w:shd w:fill="17324D"/>
          </w:tcPr>
          <w:p>
            <w:pPr>
              <w:spacing w:after="40"/>
            </w:pPr>
            <w:r/>
            <w:r>
              <w:rPr>
                <w:rFonts w:ascii="Aptos" w:hAnsi="Aptos"/>
                <w:b/>
                <w:color w:val="FFFFFF"/>
                <w:sz w:val="17"/>
              </w:rPr>
              <w:t>Prefer</w:t>
            </w:r>
          </w:p>
        </w:tc>
        <w:tc>
          <w:tcPr>
            <w:tcW w:type="dxa" w:w="4464"/>
            <w:vAlign w:val="center"/>
            <w:shd w:fill="17324D"/>
          </w:tcPr>
          <w:p>
            <w:pPr>
              <w:spacing w:after="40"/>
            </w:pPr>
            <w:r/>
            <w:r>
              <w:rPr>
                <w:rFonts w:ascii="Aptos" w:hAnsi="Aptos"/>
                <w:b/>
                <w:color w:val="FFFFFF"/>
                <w:sz w:val="17"/>
              </w:rPr>
              <w:t>Avoid</w:t>
            </w:r>
          </w:p>
        </w:tc>
      </w:tr>
      <w:tr>
        <w:tc>
          <w:tcPr>
            <w:tcW w:type="dxa" w:w="4464"/>
            <w:vAlign w:val="center"/>
            <w:shd w:fill="F3F6F8"/>
          </w:tcPr>
          <w:p>
            <w:pPr>
              <w:spacing w:after="40"/>
            </w:pPr>
            <w:r/>
            <w:r>
              <w:rPr>
                <w:rFonts w:ascii="Aptos" w:hAnsi="Aptos"/>
                <w:b w:val="0"/>
                <w:color w:val="172033"/>
                <w:sz w:val="17"/>
              </w:rPr>
              <w:t>The method retained useful signal under the tested condition.</w:t>
            </w:r>
          </w:p>
        </w:tc>
        <w:tc>
          <w:tcPr>
            <w:tcW w:type="dxa" w:w="4464"/>
            <w:vAlign w:val="center"/>
            <w:shd w:fill="F3F6F8"/>
          </w:tcPr>
          <w:p>
            <w:pPr>
              <w:spacing w:after="40"/>
            </w:pPr>
            <w:r/>
            <w:r>
              <w:rPr>
                <w:rFonts w:ascii="Aptos" w:hAnsi="Aptos"/>
                <w:b w:val="0"/>
                <w:color w:val="172033"/>
                <w:sz w:val="17"/>
              </w:rPr>
              <w:t>The method proves the image is authentic.</w:t>
            </w:r>
          </w:p>
        </w:tc>
      </w:tr>
      <w:tr>
        <w:tc>
          <w:tcPr>
            <w:tcW w:type="dxa" w:w="4464"/>
            <w:vAlign w:val="center"/>
            <w:shd w:fill="FFFFFF"/>
          </w:tcPr>
          <w:p>
            <w:pPr>
              <w:spacing w:after="40"/>
            </w:pPr>
            <w:r/>
            <w:r>
              <w:rPr>
                <w:rFonts w:ascii="Aptos" w:hAnsi="Aptos"/>
                <w:b w:val="0"/>
                <w:color w:val="172033"/>
                <w:sz w:val="17"/>
              </w:rPr>
              <w:t>The result is descriptive for this validated sample.</w:t>
            </w:r>
          </w:p>
        </w:tc>
        <w:tc>
          <w:tcPr>
            <w:tcW w:type="dxa" w:w="4464"/>
            <w:vAlign w:val="center"/>
            <w:shd w:fill="FFFFFF"/>
          </w:tcPr>
          <w:p>
            <w:pPr>
              <w:spacing w:after="40"/>
            </w:pPr>
            <w:r/>
            <w:r>
              <w:rPr>
                <w:rFonts w:ascii="Aptos" w:hAnsi="Aptos"/>
                <w:b w:val="0"/>
                <w:color w:val="172033"/>
                <w:sz w:val="17"/>
              </w:rPr>
              <w:t>The result generalises to all digital images.</w:t>
            </w:r>
          </w:p>
        </w:tc>
      </w:tr>
      <w:tr>
        <w:tc>
          <w:tcPr>
            <w:tcW w:type="dxa" w:w="4464"/>
            <w:vAlign w:val="center"/>
            <w:shd w:fill="F3F6F8"/>
          </w:tcPr>
          <w:p>
            <w:pPr>
              <w:spacing w:after="40"/>
            </w:pPr>
            <w:r/>
            <w:r>
              <w:rPr>
                <w:rFonts w:ascii="Aptos" w:hAnsi="Aptos"/>
                <w:b w:val="0"/>
                <w:color w:val="172033"/>
                <w:sz w:val="17"/>
              </w:rPr>
              <w:t>The dashboard exposes comparative evidence.</w:t>
            </w:r>
          </w:p>
        </w:tc>
        <w:tc>
          <w:tcPr>
            <w:tcW w:type="dxa" w:w="4464"/>
            <w:vAlign w:val="center"/>
            <w:shd w:fill="F3F6F8"/>
          </w:tcPr>
          <w:p>
            <w:pPr>
              <w:spacing w:after="40"/>
            </w:pPr>
            <w:r/>
            <w:r>
              <w:rPr>
                <w:rFonts w:ascii="Aptos" w:hAnsi="Aptos"/>
                <w:b w:val="0"/>
                <w:color w:val="172033"/>
                <w:sz w:val="17"/>
              </w:rPr>
              <w:t>The dashboard is a production provenance service.</w:t>
            </w:r>
          </w:p>
        </w:tc>
      </w:tr>
      <w:tr>
        <w:tc>
          <w:tcPr>
            <w:tcW w:type="dxa" w:w="4464"/>
            <w:vAlign w:val="center"/>
            <w:shd w:fill="FFFFFF"/>
          </w:tcPr>
          <w:p>
            <w:pPr>
              <w:spacing w:after="40"/>
            </w:pPr>
            <w:r/>
            <w:r>
              <w:rPr>
                <w:rFonts w:ascii="Aptos" w:hAnsi="Aptos"/>
                <w:b w:val="0"/>
                <w:color w:val="172033"/>
                <w:sz w:val="17"/>
              </w:rPr>
              <w:t>The watermark is a soft verification signal.</w:t>
            </w:r>
          </w:p>
        </w:tc>
        <w:tc>
          <w:tcPr>
            <w:tcW w:type="dxa" w:w="4464"/>
            <w:vAlign w:val="center"/>
            <w:shd w:fill="FFFFFF"/>
          </w:tcPr>
          <w:p>
            <w:pPr>
              <w:spacing w:after="40"/>
            </w:pPr>
            <w:r/>
            <w:r>
              <w:rPr>
                <w:rFonts w:ascii="Aptos" w:hAnsi="Aptos"/>
                <w:b w:val="0"/>
                <w:color w:val="172033"/>
                <w:sz w:val="17"/>
              </w:rPr>
              <w:t>The watermark is a cryptographic signature.</w:t>
            </w:r>
          </w:p>
        </w:tc>
      </w:tr>
    </w:tbl>
    <w:p>
      <w:pPr>
        <w:spacing w:after="20"/>
      </w:pPr>
    </w:p>
    <w:p>
      <w:r>
        <w:br w:type="page"/>
      </w:r>
    </w:p>
    <w:p>
      <w:pPr>
        <w:pStyle w:val="Heading1"/>
        <w:keepNext/>
      </w:pPr>
      <w:r>
        <w:t>8. Questions and Short Answers</w:t>
      </w:r>
    </w:p>
    <w:p>
      <w:pPr>
        <w:pStyle w:val="Heading2"/>
        <w:keepNext/>
      </w:pPr>
      <w:r>
        <w:t>Why not use only a watermark?</w:t>
      </w:r>
    </w:p>
    <w:p>
      <w:r>
        <w:t>A watermark and a hash measure different relationships. A hybrid view can preserve useful evidence when one signal degrades, although it still needs calibrated decisions and provenance controls.</w:t>
      </w:r>
    </w:p>
    <w:p>
      <w:pPr>
        <w:pStyle w:val="Heading2"/>
        <w:keepNext/>
      </w:pPr>
      <w:r>
        <w:t>Why is geometry difficult?</w:t>
      </w:r>
    </w:p>
    <w:p>
      <w:r>
        <w:t>Rotation, crop, scaling, and padding alter coordinate relationships. A signal trained or designed for value changes may not retain the same relationship after spatial reorganisation.</w:t>
      </w:r>
    </w:p>
    <w:p>
      <w:pPr>
        <w:pStyle w:val="Heading2"/>
        <w:keepNext/>
      </w:pPr>
      <w:r>
        <w:t>Does a high bit accuracy mean the watermark is secure?</w:t>
      </w:r>
    </w:p>
    <w:p>
      <w:r>
        <w:t>No. It means the tested decoder recovered the payload accurately under the tested condition. Security also requires a threat model, key management, attack evaluation, and misuse controls.</w:t>
      </w:r>
    </w:p>
    <w:p>
      <w:pPr>
        <w:pStyle w:val="Heading2"/>
        <w:keepNext/>
      </w:pPr>
      <w:r>
        <w:t>Why report raw bit accuracy and decode presence?</w:t>
      </w:r>
    </w:p>
    <w:p>
      <w:r>
        <w:t>Error correction can make exact decoding succeed even when some raw bits are wrong. Reporting both reveals that distinction.</w:t>
      </w:r>
    </w:p>
    <w:p>
      <w:pPr>
        <w:pStyle w:val="Heading2"/>
        <w:keepNext/>
      </w:pPr>
      <w:r>
        <w:t>Why use the worst hash in the ensemble?</w:t>
      </w:r>
    </w:p>
    <w:p>
      <w:r>
        <w:t>A pooled mean can hide a weak algorithm, particularly when most hashes have shorter representations. The weakest-link rule makes that choice explicit.</w:t>
      </w:r>
    </w:p>
    <w:p>
      <w:pPr>
        <w:pStyle w:val="Heading2"/>
        <w:keepNext/>
      </w:pPr>
      <w:r>
        <w:t>What would strengthen the study next?</w:t>
      </w:r>
    </w:p>
    <w:p>
      <w:r>
        <w:t>Complete validated larger-run evidence, add compound and adaptive attacks, report per-image uncertainty and error costs, and evaluate provenance and security controls separately.</w:t>
      </w:r>
    </w:p>
    <w:p>
      <w:pPr>
        <w:pStyle w:val="Heading2"/>
        <w:keepNext/>
      </w:pPr>
      <w:r>
        <w:t>One-minute closing</w:t>
      </w:r>
    </w:p>
    <w:p>
      <w:r>
        <w:t>The benchmark shows that verification signals have different failure surfaces. TrustMark, perceptual hashes, LSB, and DCT are therefore best understood as conditional evidence layers, not interchangeable proofs. The project's engineering value is the shared deterministic pipeline, the inspectable evidence trail, and the discipline to keep robustness findings separate from claims of authenticity or provenance.</w:t>
      </w:r>
    </w:p>
    <w:p>
      <w:r>
        <w:br w:type="page"/>
      </w:r>
    </w:p>
    <w:p>
      <w:pPr>
        <w:pStyle w:val="Heading1"/>
        <w:keepNext/>
      </w:pPr>
      <w:r>
        <w:t>Appendix A. Source Map</w:t>
      </w:r>
    </w:p>
    <w:p>
      <w:r>
        <w:t>This guide was assembled from the repository materials available at generation time. The source map makes the document auditable without modifying the FPR or dashboard code.</w:t>
      </w:r>
    </w:p>
    <w:tbl>
      <w:tblPr>
        <w:tblStyle w:val="TableGrid"/>
        <w:tblW w:type="auto" w:w="0"/>
        <w:jc w:val="center"/>
        <w:tblLook w:firstColumn="1" w:firstRow="1" w:lastColumn="0" w:lastRow="0" w:noHBand="0" w:noVBand="1" w:val="04A0"/>
      </w:tblPr>
      <w:tblGrid>
        <w:gridCol w:w="4997"/>
        <w:gridCol w:w="4997"/>
      </w:tblGrid>
      <w:tr>
        <w:tc>
          <w:tcPr>
            <w:tcW w:type="dxa" w:w="3168"/>
            <w:vAlign w:val="center"/>
            <w:shd w:fill="17324D"/>
          </w:tcPr>
          <w:p>
            <w:pPr>
              <w:spacing w:after="40"/>
            </w:pPr>
            <w:r/>
            <w:r>
              <w:rPr>
                <w:rFonts w:ascii="Aptos" w:hAnsi="Aptos"/>
                <w:b/>
                <w:color w:val="FFFFFF"/>
                <w:sz w:val="17"/>
              </w:rPr>
              <w:t>Topic</w:t>
            </w:r>
          </w:p>
        </w:tc>
        <w:tc>
          <w:tcPr>
            <w:tcW w:type="dxa" w:w="5760"/>
            <w:vAlign w:val="center"/>
            <w:shd w:fill="17324D"/>
          </w:tcPr>
          <w:p>
            <w:pPr>
              <w:spacing w:after="40"/>
            </w:pPr>
            <w:r/>
            <w:r>
              <w:rPr>
                <w:rFonts w:ascii="Aptos" w:hAnsi="Aptos"/>
                <w:b/>
                <w:color w:val="FFFFFF"/>
                <w:sz w:val="17"/>
              </w:rPr>
              <w:t>Repository source</w:t>
            </w:r>
          </w:p>
        </w:tc>
      </w:tr>
      <w:tr>
        <w:tc>
          <w:tcPr>
            <w:tcW w:type="dxa" w:w="3168"/>
            <w:vAlign w:val="center"/>
            <w:shd w:fill="F3F6F8"/>
          </w:tcPr>
          <w:p>
            <w:pPr>
              <w:spacing w:after="40"/>
            </w:pPr>
            <w:r/>
            <w:r>
              <w:rPr>
                <w:rFonts w:ascii="Aptos" w:hAnsi="Aptos"/>
                <w:b w:val="0"/>
                <w:color w:val="172033"/>
                <w:sz w:val="17"/>
              </w:rPr>
              <w:t>Project scope and pipeline components</w:t>
            </w:r>
          </w:p>
        </w:tc>
        <w:tc>
          <w:tcPr>
            <w:tcW w:type="dxa" w:w="5760"/>
            <w:vAlign w:val="center"/>
            <w:shd w:fill="F3F6F8"/>
          </w:tcPr>
          <w:p>
            <w:pPr>
              <w:spacing w:after="40"/>
            </w:pPr>
            <w:r/>
            <w:r>
              <w:rPr>
                <w:rFonts w:ascii="Aptos" w:hAnsi="Aptos"/>
                <w:b w:val="0"/>
                <w:color w:val="172033"/>
                <w:sz w:val="17"/>
              </w:rPr>
              <w:t>PROJECT_SUMMARY.md; README.md</w:t>
            </w:r>
          </w:p>
        </w:tc>
      </w:tr>
      <w:tr>
        <w:tc>
          <w:tcPr>
            <w:tcW w:type="dxa" w:w="3168"/>
            <w:vAlign w:val="center"/>
            <w:shd w:fill="FFFFFF"/>
          </w:tcPr>
          <w:p>
            <w:pPr>
              <w:spacing w:after="40"/>
            </w:pPr>
            <w:r/>
            <w:r>
              <w:rPr>
                <w:rFonts w:ascii="Aptos" w:hAnsi="Aptos"/>
                <w:b w:val="0"/>
                <w:color w:val="172033"/>
                <w:sz w:val="17"/>
              </w:rPr>
              <w:t>Method definitions and limitations</w:t>
            </w:r>
          </w:p>
        </w:tc>
        <w:tc>
          <w:tcPr>
            <w:tcW w:type="dxa" w:w="5760"/>
            <w:vAlign w:val="center"/>
            <w:shd w:fill="FFFFFF"/>
          </w:tcPr>
          <w:p>
            <w:pPr>
              <w:spacing w:after="40"/>
            </w:pPr>
            <w:r/>
            <w:r>
              <w:rPr>
                <w:rFonts w:ascii="Aptos" w:hAnsi="Aptos"/>
                <w:b w:val="0"/>
                <w:color w:val="172033"/>
                <w:sz w:val="17"/>
              </w:rPr>
              <w:t>output/final_project_report_draft.md</w:t>
            </w:r>
          </w:p>
        </w:tc>
      </w:tr>
      <w:tr>
        <w:tc>
          <w:tcPr>
            <w:tcW w:type="dxa" w:w="3168"/>
            <w:vAlign w:val="center"/>
            <w:shd w:fill="F3F6F8"/>
          </w:tcPr>
          <w:p>
            <w:pPr>
              <w:spacing w:after="40"/>
            </w:pPr>
            <w:r/>
            <w:r>
              <w:rPr>
                <w:rFonts w:ascii="Aptos" w:hAnsi="Aptos"/>
                <w:b w:val="0"/>
                <w:color w:val="172033"/>
                <w:sz w:val="17"/>
              </w:rPr>
              <w:t>Final-run uncertainty method</w:t>
            </w:r>
          </w:p>
        </w:tc>
        <w:tc>
          <w:tcPr>
            <w:tcW w:type="dxa" w:w="5760"/>
            <w:vAlign w:val="center"/>
            <w:shd w:fill="F3F6F8"/>
          </w:tcPr>
          <w:p>
            <w:pPr>
              <w:spacing w:after="40"/>
            </w:pPr>
            <w:r/>
            <w:r>
              <w:rPr>
                <w:rFonts w:ascii="Aptos" w:hAnsi="Aptos"/>
                <w:b w:val="0"/>
                <w:color w:val="172033"/>
                <w:sz w:val="17"/>
              </w:rPr>
              <w:t>output/results/final1200/uncertainty_summary.md</w:t>
            </w:r>
          </w:p>
        </w:tc>
      </w:tr>
      <w:tr>
        <w:tc>
          <w:tcPr>
            <w:tcW w:type="dxa" w:w="3168"/>
            <w:vAlign w:val="center"/>
            <w:shd w:fill="FFFFFF"/>
          </w:tcPr>
          <w:p>
            <w:pPr>
              <w:spacing w:after="40"/>
            </w:pPr>
            <w:r/>
            <w:r>
              <w:rPr>
                <w:rFonts w:ascii="Aptos" w:hAnsi="Aptos"/>
                <w:b w:val="0"/>
                <w:color w:val="172033"/>
                <w:sz w:val="17"/>
              </w:rPr>
              <w:t>Threshold crossings</w:t>
            </w:r>
          </w:p>
        </w:tc>
        <w:tc>
          <w:tcPr>
            <w:tcW w:type="dxa" w:w="5760"/>
            <w:vAlign w:val="center"/>
            <w:shd w:fill="FFFFFF"/>
          </w:tcPr>
          <w:p>
            <w:pPr>
              <w:spacing w:after="40"/>
            </w:pPr>
            <w:r/>
            <w:r>
              <w:rPr>
                <w:rFonts w:ascii="Aptos" w:hAnsi="Aptos"/>
                <w:b w:val="0"/>
                <w:color w:val="172033"/>
                <w:sz w:val="17"/>
              </w:rPr>
              <w:t>output/results/final1200/threshold_analysis.md</w:t>
            </w:r>
          </w:p>
        </w:tc>
      </w:tr>
      <w:tr>
        <w:tc>
          <w:tcPr>
            <w:tcW w:type="dxa" w:w="3168"/>
            <w:vAlign w:val="center"/>
            <w:shd w:fill="F3F6F8"/>
          </w:tcPr>
          <w:p>
            <w:pPr>
              <w:spacing w:after="40"/>
            </w:pPr>
            <w:r/>
            <w:r>
              <w:rPr>
                <w:rFonts w:ascii="Aptos" w:hAnsi="Aptos"/>
                <w:b w:val="0"/>
                <w:color w:val="172033"/>
                <w:sz w:val="17"/>
              </w:rPr>
              <w:t>Figures</w:t>
            </w:r>
          </w:p>
        </w:tc>
        <w:tc>
          <w:tcPr>
            <w:tcW w:type="dxa" w:w="5760"/>
            <w:vAlign w:val="center"/>
            <w:shd w:fill="F3F6F8"/>
          </w:tcPr>
          <w:p>
            <w:pPr>
              <w:spacing w:after="40"/>
            </w:pPr>
            <w:r/>
            <w:r>
              <w:rPr>
                <w:rFonts w:ascii="Aptos" w:hAnsi="Aptos"/>
                <w:b w:val="0"/>
                <w:color w:val="172033"/>
                <w:sz w:val="17"/>
              </w:rPr>
              <w:t>output/figures/*.png; captions identify each selected asset</w:t>
            </w:r>
          </w:p>
        </w:tc>
      </w:tr>
      <w:tr>
        <w:tc>
          <w:tcPr>
            <w:tcW w:type="dxa" w:w="3168"/>
            <w:vAlign w:val="center"/>
            <w:shd w:fill="FFFFFF"/>
          </w:tcPr>
          <w:p>
            <w:pPr>
              <w:spacing w:after="40"/>
            </w:pPr>
            <w:r/>
            <w:r>
              <w:rPr>
                <w:rFonts w:ascii="Aptos" w:hAnsi="Aptos"/>
                <w:b w:val="0"/>
                <w:color w:val="172033"/>
                <w:sz w:val="17"/>
              </w:rPr>
              <w:t>Evidence and submission context</w:t>
            </w:r>
          </w:p>
        </w:tc>
        <w:tc>
          <w:tcPr>
            <w:tcW w:type="dxa" w:w="5760"/>
            <w:vAlign w:val="center"/>
            <w:shd w:fill="FFFFFF"/>
          </w:tcPr>
          <w:p>
            <w:pPr>
              <w:spacing w:after="40"/>
            </w:pPr>
            <w:r/>
            <w:r>
              <w:rPr>
                <w:rFonts w:ascii="Aptos" w:hAnsi="Aptos"/>
                <w:b w:val="0"/>
                <w:color w:val="172033"/>
                <w:sz w:val="17"/>
              </w:rPr>
              <w:t>SUBMISSION_MANIFEST.md; CITATIONS.md</w:t>
            </w:r>
          </w:p>
        </w:tc>
      </w:tr>
    </w:tbl>
    <w:p>
      <w:pPr>
        <w:spacing w:after="20"/>
      </w:pPr>
    </w:p>
    <w:p>
      <w:pPr>
        <w:pStyle w:val="Heading2"/>
        <w:keepNext/>
      </w:pPr>
      <w:r>
        <w:t>Figure index</w:t>
      </w:r>
    </w:p>
    <w:tbl>
      <w:tblPr>
        <w:tblStyle w:val="TableGrid"/>
        <w:tblW w:type="auto" w:w="0"/>
        <w:jc w:val="center"/>
        <w:tblLook w:firstColumn="1" w:firstRow="1" w:lastColumn="0" w:lastRow="0" w:noHBand="0" w:noVBand="1" w:val="04A0"/>
      </w:tblPr>
      <w:tblGrid>
        <w:gridCol w:w="4997"/>
        <w:gridCol w:w="4997"/>
      </w:tblGrid>
      <w:tr>
        <w:tc>
          <w:tcPr>
            <w:tcW w:type="dxa" w:w="1152"/>
            <w:vAlign w:val="center"/>
            <w:shd w:fill="17324D"/>
          </w:tcPr>
          <w:p>
            <w:pPr>
              <w:spacing w:after="40"/>
            </w:pPr>
            <w:r/>
            <w:r>
              <w:rPr>
                <w:rFonts w:ascii="Aptos" w:hAnsi="Aptos"/>
                <w:b/>
                <w:color w:val="FFFFFF"/>
                <w:sz w:val="17"/>
              </w:rPr>
              <w:t>Figure</w:t>
            </w:r>
          </w:p>
        </w:tc>
        <w:tc>
          <w:tcPr>
            <w:tcW w:type="dxa" w:w="7776"/>
            <w:vAlign w:val="center"/>
            <w:shd w:fill="17324D"/>
          </w:tcPr>
          <w:p>
            <w:pPr>
              <w:spacing w:after="40"/>
            </w:pPr>
            <w:r/>
            <w:r>
              <w:rPr>
                <w:rFonts w:ascii="Aptos" w:hAnsi="Aptos"/>
                <w:b/>
                <w:color w:val="FFFFFF"/>
                <w:sz w:val="17"/>
              </w:rPr>
              <w:t>Asset</w:t>
            </w:r>
          </w:p>
        </w:tc>
      </w:tr>
      <w:tr>
        <w:tc>
          <w:tcPr>
            <w:tcW w:type="dxa" w:w="1152"/>
            <w:vAlign w:val="center"/>
            <w:shd w:fill="F3F6F8"/>
          </w:tcPr>
          <w:p>
            <w:pPr>
              <w:spacing w:after="40"/>
            </w:pPr>
            <w:r/>
            <w:r>
              <w:rPr>
                <w:rFonts w:ascii="Aptos" w:hAnsi="Aptos"/>
                <w:b w:val="0"/>
                <w:color w:val="172033"/>
                <w:sz w:val="17"/>
              </w:rPr>
              <w:t>1</w:t>
            </w:r>
          </w:p>
        </w:tc>
        <w:tc>
          <w:tcPr>
            <w:tcW w:type="dxa" w:w="7776"/>
            <w:vAlign w:val="center"/>
            <w:shd w:fill="F3F6F8"/>
          </w:tcPr>
          <w:p>
            <w:pPr>
              <w:spacing w:after="40"/>
            </w:pPr>
            <w:r/>
            <w:r>
              <w:rPr>
                <w:rFonts w:ascii="Aptos" w:hAnsi="Aptos"/>
                <w:b w:val="0"/>
                <w:color w:val="172033"/>
                <w:sz w:val="17"/>
              </w:rPr>
              <w:t>fpr_transform_taxonomy.png</w:t>
            </w:r>
          </w:p>
        </w:tc>
      </w:tr>
      <w:tr>
        <w:tc>
          <w:tcPr>
            <w:tcW w:type="dxa" w:w="1152"/>
            <w:vAlign w:val="center"/>
            <w:shd w:fill="FFFFFF"/>
          </w:tcPr>
          <w:p>
            <w:pPr>
              <w:spacing w:after="40"/>
            </w:pPr>
            <w:r/>
            <w:r>
              <w:rPr>
                <w:rFonts w:ascii="Aptos" w:hAnsi="Aptos"/>
                <w:b w:val="0"/>
                <w:color w:val="172033"/>
                <w:sz w:val="17"/>
              </w:rPr>
              <w:t>2</w:t>
            </w:r>
          </w:p>
        </w:tc>
        <w:tc>
          <w:tcPr>
            <w:tcW w:type="dxa" w:w="7776"/>
            <w:vAlign w:val="center"/>
            <w:shd w:fill="FFFFFF"/>
          </w:tcPr>
          <w:p>
            <w:pPr>
              <w:spacing w:after="40"/>
            </w:pPr>
            <w:r/>
            <w:r>
              <w:rPr>
                <w:rFonts w:ascii="Aptos" w:hAnsi="Aptos"/>
                <w:b w:val="0"/>
                <w:color w:val="172033"/>
                <w:sz w:val="17"/>
              </w:rPr>
              <w:t>fpr_method_comparison.png</w:t>
            </w:r>
          </w:p>
        </w:tc>
      </w:tr>
      <w:tr>
        <w:tc>
          <w:tcPr>
            <w:tcW w:type="dxa" w:w="1152"/>
            <w:vAlign w:val="center"/>
            <w:shd w:fill="F3F6F8"/>
          </w:tcPr>
          <w:p>
            <w:pPr>
              <w:spacing w:after="40"/>
            </w:pPr>
            <w:r/>
            <w:r>
              <w:rPr>
                <w:rFonts w:ascii="Aptos" w:hAnsi="Aptos"/>
                <w:b w:val="0"/>
                <w:color w:val="172033"/>
                <w:sz w:val="17"/>
              </w:rPr>
              <w:t>3</w:t>
            </w:r>
          </w:p>
        </w:tc>
        <w:tc>
          <w:tcPr>
            <w:tcW w:type="dxa" w:w="7776"/>
            <w:vAlign w:val="center"/>
            <w:shd w:fill="F3F6F8"/>
          </w:tcPr>
          <w:p>
            <w:pPr>
              <w:spacing w:after="40"/>
            </w:pPr>
            <w:r/>
            <w:r>
              <w:rPr>
                <w:rFonts w:ascii="Aptos" w:hAnsi="Aptos"/>
                <w:b w:val="0"/>
                <w:color w:val="172033"/>
                <w:sz w:val="17"/>
              </w:rPr>
              <w:t>ensemble_heatmap.png</w:t>
            </w:r>
          </w:p>
        </w:tc>
      </w:tr>
      <w:tr>
        <w:tc>
          <w:tcPr>
            <w:tcW w:type="dxa" w:w="1152"/>
            <w:vAlign w:val="center"/>
            <w:shd w:fill="FFFFFF"/>
          </w:tcPr>
          <w:p>
            <w:pPr>
              <w:spacing w:after="40"/>
            </w:pPr>
            <w:r/>
            <w:r>
              <w:rPr>
                <w:rFonts w:ascii="Aptos" w:hAnsi="Aptos"/>
                <w:b w:val="0"/>
                <w:color w:val="172033"/>
                <w:sz w:val="17"/>
              </w:rPr>
              <w:t>4</w:t>
            </w:r>
          </w:p>
        </w:tc>
        <w:tc>
          <w:tcPr>
            <w:tcW w:type="dxa" w:w="7776"/>
            <w:vAlign w:val="center"/>
            <w:shd w:fill="FFFFFF"/>
          </w:tcPr>
          <w:p>
            <w:pPr>
              <w:spacing w:after="40"/>
            </w:pPr>
            <w:r/>
            <w:r>
              <w:rPr>
                <w:rFonts w:ascii="Aptos" w:hAnsi="Aptos"/>
                <w:b w:val="0"/>
                <w:color w:val="172033"/>
                <w:sz w:val="17"/>
              </w:rPr>
              <w:t>dashboard_fig2_interface.png</w:t>
            </w:r>
          </w:p>
        </w:tc>
      </w:tr>
      <w:tr>
        <w:tc>
          <w:tcPr>
            <w:tcW w:type="dxa" w:w="1152"/>
            <w:vAlign w:val="center"/>
            <w:shd w:fill="F3F6F8"/>
          </w:tcPr>
          <w:p>
            <w:pPr>
              <w:spacing w:after="40"/>
            </w:pPr>
            <w:r/>
            <w:r>
              <w:rPr>
                <w:rFonts w:ascii="Aptos" w:hAnsi="Aptos"/>
                <w:b w:val="0"/>
                <w:color w:val="172033"/>
                <w:sz w:val="17"/>
              </w:rPr>
              <w:t>5</w:t>
            </w:r>
          </w:p>
        </w:tc>
        <w:tc>
          <w:tcPr>
            <w:tcW w:type="dxa" w:w="7776"/>
            <w:vAlign w:val="center"/>
            <w:shd w:fill="F3F6F8"/>
          </w:tcPr>
          <w:p>
            <w:pPr>
              <w:spacing w:after="40"/>
            </w:pPr>
            <w:r/>
            <w:r>
              <w:rPr>
                <w:rFonts w:ascii="Aptos" w:hAnsi="Aptos"/>
                <w:b w:val="0"/>
                <w:color w:val="172033"/>
                <w:sz w:val="17"/>
              </w:rPr>
              <w:t>dashboard_fig4_verify_hybrid.png</w:t>
            </w:r>
          </w:p>
        </w:tc>
      </w:tr>
      <w:tr>
        <w:tc>
          <w:tcPr>
            <w:tcW w:type="dxa" w:w="1152"/>
            <w:vAlign w:val="center"/>
            <w:shd w:fill="FFFFFF"/>
          </w:tcPr>
          <w:p>
            <w:pPr>
              <w:spacing w:after="40"/>
            </w:pPr>
            <w:r/>
            <w:r>
              <w:rPr>
                <w:rFonts w:ascii="Aptos" w:hAnsi="Aptos"/>
                <w:b w:val="0"/>
                <w:color w:val="172033"/>
                <w:sz w:val="17"/>
              </w:rPr>
              <w:t>6</w:t>
            </w:r>
          </w:p>
        </w:tc>
        <w:tc>
          <w:tcPr>
            <w:tcW w:type="dxa" w:w="7776"/>
            <w:vAlign w:val="center"/>
            <w:shd w:fill="FFFFFF"/>
          </w:tcPr>
          <w:p>
            <w:pPr>
              <w:spacing w:after="40"/>
            </w:pPr>
            <w:r/>
            <w:r>
              <w:rPr>
                <w:rFonts w:ascii="Aptos" w:hAnsi="Aptos"/>
                <w:b w:val="0"/>
                <w:color w:val="172033"/>
                <w:sz w:val="17"/>
              </w:rPr>
              <w:t>fpr_payload_ecc_dev_sweep.png</w:t>
            </w:r>
          </w:p>
        </w:tc>
      </w:tr>
    </w:tbl>
    <w:p>
      <w:pPr>
        <w:spacing w:after="20"/>
      </w:pPr>
    </w:p>
    <w:p>
      <w:pPr>
        <w:spacing w:before="80" w:after="140"/>
        <w:ind w:left="216" w:right="216"/>
      </w:pPr>
      <w:r>
        <w:rPr>
          <w:b/>
        </w:rPr>
        <w:t xml:space="preserve">Status: </w:t>
      </w:r>
      <w:r>
        <w:t>This is a study and presentation document derived from repository evidence. It is not a replacement for the formal project report, institutional declarations, or a signed provenance implementation.</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0C6E72"/>
        <w:sz w:val="16"/>
      </w:rPr>
      <w:t>STEGANOGRAPHIC SIGNING AND FILTER TRACEABILITY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C6E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