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rPr>
        <w:t>BCS Fellowship — STAR statements for handcrafting</w:t>
      </w:r>
    </w:p>
    <w:p>
      <w:pPr>
        <w:spacing w:after="160"/>
      </w:pPr>
      <w:r>
        <w:rPr>
          <w:rFonts w:ascii="Arial" w:hAnsi="Arial"/>
          <w:b w:val="0"/>
          <w:sz w:val="22"/>
        </w:rPr>
        <w:t>Saiteja Jonnalagadda. Locked statements A–D. Copy Situation, Task, Action, and Result into the official BCS form. Each statement is within the 440-word limit.</w:t>
      </w:r>
    </w:p>
    <w:p>
      <w:pPr>
        <w:spacing w:after="160"/>
      </w:pPr>
      <w:r>
        <w:rPr>
          <w:rFonts w:ascii="Arial" w:hAnsi="Arial"/>
          <w:b w:val="0"/>
          <w:sz w:val="22"/>
        </w:rPr>
        <w:t>Suggested optional URLs (one per statement):</w:t>
      </w:r>
    </w:p>
    <w:p>
      <w:pPr>
        <w:spacing w:after="160"/>
      </w:pPr>
      <w:r>
        <w:rPr>
          <w:rFonts w:ascii="Arial" w:hAnsi="Arial"/>
          <w:b w:val="0"/>
          <w:sz w:val="22"/>
        </w:rPr>
        <w:t>A: https://saiteja-j.com/innovation.html (or leave blank)</w:t>
      </w:r>
    </w:p>
    <w:p>
      <w:pPr>
        <w:spacing w:after="160"/>
      </w:pPr>
      <w:r>
        <w:rPr>
          <w:rFonts w:ascii="Arial" w:hAnsi="Arial"/>
          <w:b w:val="0"/>
          <w:sz w:val="22"/>
        </w:rPr>
        <w:t>B: https://saiteja-j.com/inspiration_recognitions.html  (form currently has live dev.to)</w:t>
      </w:r>
    </w:p>
    <w:p>
      <w:pPr>
        <w:spacing w:after="160"/>
      </w:pPr>
      <w:r>
        <w:rPr>
          <w:rFonts w:ascii="Arial" w:hAnsi="Arial"/>
          <w:b w:val="0"/>
          <w:sz w:val="22"/>
        </w:rPr>
        <w:t>C: https://saiteja-j.com/leadership_consulting.html  (form currently has LinkedIn)</w:t>
      </w:r>
    </w:p>
    <w:p>
      <w:pPr>
        <w:spacing w:after="160"/>
      </w:pPr>
      <w:r>
        <w:rPr>
          <w:rFonts w:ascii="Arial" w:hAnsi="Arial"/>
          <w:b w:val="0"/>
          <w:sz w:val="22"/>
        </w:rPr>
        <w:t>D: https://saiteja-j.com/public-influencer.html  (form currently has World AI IoT TPC)</w:t>
      </w:r>
    </w:p>
    <w:p>
      <w:pPr>
        <w:pStyle w:val="Heading1"/>
      </w:pPr>
      <w:r>
        <w:rPr>
          <w:rFonts w:ascii="Arial" w:hAnsi="Arial"/>
        </w:rPr>
        <w:t>Statement A — Body of work: Invention and innovation</w:t>
      </w:r>
    </w:p>
    <w:p>
      <w:pPr>
        <w:spacing w:after="160"/>
      </w:pPr>
      <w:r>
        <w:rPr>
          <w:rFonts w:ascii="Arial" w:hAnsi="Arial"/>
          <w:b w:val="0"/>
          <w:sz w:val="22"/>
        </w:rPr>
        <w:t>Tick: Invention and innovation. 407 words.</w:t>
      </w:r>
    </w:p>
    <w:p>
      <w:pPr>
        <w:spacing w:before="200" w:after="80"/>
      </w:pPr>
      <w:r>
        <w:rPr>
          <w:rFonts w:ascii="Arial" w:hAnsi="Arial"/>
          <w:b/>
          <w:sz w:val="22"/>
        </w:rPr>
        <w:t>Situation</w:t>
      </w:r>
    </w:p>
    <w:p>
      <w:pPr>
        <w:spacing w:after="160"/>
      </w:pPr>
      <w:r>
        <w:rPr>
          <w:rFonts w:ascii="Arial" w:hAnsi="Arial"/>
          <w:b w:val="0"/>
          <w:sz w:val="22"/>
        </w:rPr>
        <w:t>An overmatch is a set of linked records that may not belong to the same person. It puts one patient's record in front of a clinician who is treating someone else. Black Book Research estimated that inaccurate patient identification costs more than 6.7 billion dollars a year.</w:t>
      </w:r>
    </w:p>
    <w:p>
      <w:pPr>
        <w:spacing w:after="160"/>
      </w:pPr>
      <w:r>
        <w:rPr>
          <w:rFonts w:ascii="Arial" w:hAnsi="Arial"/>
          <w:b w:val="0"/>
          <w:sz w:val="22"/>
        </w:rPr>
        <w:t>CVS Health serves more than 185 million people, and overmatched records were untangled by hand.</w:t>
      </w:r>
    </w:p>
    <w:p>
      <w:pPr>
        <w:spacing w:before="200" w:after="80"/>
      </w:pPr>
      <w:r>
        <w:rPr>
          <w:rFonts w:ascii="Arial" w:hAnsi="Arial"/>
          <w:b/>
          <w:sz w:val="22"/>
        </w:rPr>
        <w:t>Task</w:t>
      </w:r>
    </w:p>
    <w:p>
      <w:pPr>
        <w:spacing w:after="160"/>
      </w:pPr>
      <w:r>
        <w:rPr>
          <w:rFonts w:ascii="Arial" w:hAnsi="Arial"/>
          <w:b w:val="0"/>
          <w:sz w:val="22"/>
        </w:rPr>
        <w:t>The platform had no safe way to undo an overmatch at production speed. I set out to invent a method that corrects overmatches automatically, refuses a silent join, and puts the corrected identity in front of clinicians in seconds.</w:t>
      </w:r>
    </w:p>
    <w:p>
      <w:pPr>
        <w:spacing w:after="160"/>
      </w:pPr>
      <w:r>
        <w:rPr>
          <w:rFonts w:ascii="Arial" w:hAnsi="Arial"/>
          <w:b w:val="0"/>
          <w:sz w:val="22"/>
        </w:rPr>
        <w:t>From July 2021 to October 2024, real-time payment decisions at PayPal trained me for automated decisions that must be right at volume.</w:t>
      </w:r>
    </w:p>
    <w:p>
      <w:pPr>
        <w:spacing w:before="200" w:after="80"/>
      </w:pPr>
      <w:r>
        <w:rPr>
          <w:rFonts w:ascii="Arial" w:hAnsi="Arial"/>
          <w:b/>
          <w:sz w:val="22"/>
        </w:rPr>
        <w:t>Action</w:t>
      </w:r>
    </w:p>
    <w:p>
      <w:pPr>
        <w:spacing w:after="160"/>
      </w:pPr>
      <w:r>
        <w:rPr>
          <w:rFonts w:ascii="Arial" w:hAnsi="Arial"/>
          <w:b w:val="0"/>
          <w:sz w:val="22"/>
        </w:rPr>
        <w:t>Since October 2024, as lead designer, I invented a new way for the platform to correct identity. It breaks a bad link apart, rematches each record on its own evidence, and pushes the correction downstream in real time. I built two systems to carry that method.</w:t>
      </w:r>
    </w:p>
    <w:p>
      <w:pPr>
        <w:spacing w:after="160"/>
      </w:pPr>
      <w:r>
        <w:rPr>
          <w:rFonts w:ascii="Arial" w:hAnsi="Arial"/>
          <w:b w:val="0"/>
          <w:sz w:val="22"/>
        </w:rPr>
        <w:t>The first is the overmatch resolver. Until then a person judged a whole cluster by hand. The explode and rematch method I invented for the platform separates the wrongly merged records and rematches each one independently. A high-confidence match completes automatically. A low-confidence match goes to a person. That is what stops a silent join and a wrong-patient error.</w:t>
      </w:r>
    </w:p>
    <w:p>
      <w:pPr>
        <w:spacing w:after="160"/>
      </w:pPr>
      <w:r>
        <w:rPr>
          <w:rFonts w:ascii="Arial" w:hAnsi="Arial"/>
          <w:b w:val="0"/>
          <w:sz w:val="22"/>
        </w:rPr>
        <w:t>The second is the real-time demographic events service. I replaced batch processing with an event-driven design and defined the enterprise event taxonomy so a demographic change has one meaning across the platform. I wrote the design proposal, took it to the architecture review board, and it became the required enterprise standard. I ran working sessions to bring teams onto it.</w:t>
      </w:r>
    </w:p>
    <w:p>
      <w:pPr>
        <w:spacing w:before="200" w:after="80"/>
      </w:pPr>
      <w:r>
        <w:rPr>
          <w:rFonts w:ascii="Arial" w:hAnsi="Arial"/>
          <w:b/>
          <w:sz w:val="22"/>
        </w:rPr>
        <w:t>Result</w:t>
      </w:r>
    </w:p>
    <w:p>
      <w:pPr>
        <w:spacing w:after="160"/>
      </w:pPr>
      <w:r>
        <w:rPr>
          <w:rFonts w:ascii="Arial" w:hAnsi="Arial"/>
          <w:b w:val="0"/>
          <w:sz w:val="22"/>
        </w:rPr>
        <w:t>Both systems are still in production. The business no longer waits for a person to untangle an overmatch after the fact. Manual reconciliation fell by about 40 percent. An uncertain match is no longer written as certain, so clinicians and pharmacists can rely on the identity at the point of care.</w:t>
      </w:r>
    </w:p>
    <w:p>
      <w:pPr>
        <w:spacing w:after="160"/>
      </w:pPr>
      <w:r>
        <w:rPr>
          <w:rFonts w:ascii="Arial" w:hAnsi="Arial"/>
          <w:b w:val="0"/>
          <w:sz w:val="22"/>
        </w:rPr>
        <w:t>Because the correction now travels in real time, a change that took hours now reaches 14 lines of business in seconds, at about 150 transactions per second. Queries run about 70 percent faster, and uploads run about 40 times faster.</w:t>
      </w:r>
    </w:p>
    <w:p>
      <w:pPr>
        <w:spacing w:after="160"/>
      </w:pPr>
      <w:r>
        <w:rPr>
          <w:rFonts w:ascii="Arial" w:hAnsi="Arial"/>
          <w:b w:val="0"/>
          <w:sz w:val="22"/>
        </w:rPr>
        <w:t>The two systems transformed the way the business corrects patient identity. More than ten teams now build on my taxonomy, so the method no longer depends on me.</w:t>
      </w:r>
    </w:p>
    <w:p>
      <w:pPr>
        <w:pStyle w:val="Heading1"/>
      </w:pPr>
      <w:r>
        <w:rPr>
          <w:rFonts w:ascii="Arial" w:hAnsi="Arial"/>
        </w:rPr>
        <w:t>Statement B — Professional impact: Inspiring others</w:t>
      </w:r>
    </w:p>
    <w:p>
      <w:pPr>
        <w:spacing w:after="160"/>
      </w:pPr>
      <w:r>
        <w:rPr>
          <w:rFonts w:ascii="Arial" w:hAnsi="Arial"/>
          <w:b w:val="0"/>
          <w:sz w:val="22"/>
        </w:rPr>
        <w:t>Tick: Inspiring others. 427 words.</w:t>
      </w:r>
    </w:p>
    <w:p>
      <w:pPr>
        <w:spacing w:before="200" w:after="80"/>
      </w:pPr>
      <w:r>
        <w:rPr>
          <w:rFonts w:ascii="Arial" w:hAnsi="Arial"/>
          <w:b/>
          <w:sz w:val="22"/>
        </w:rPr>
        <w:t>Situation</w:t>
      </w:r>
    </w:p>
    <w:p>
      <w:pPr>
        <w:spacing w:after="160"/>
      </w:pPr>
      <w:r>
        <w:rPr>
          <w:rFonts w:ascii="Arial" w:hAnsi="Arial"/>
          <w:b w:val="0"/>
          <w:sz w:val="22"/>
        </w:rPr>
        <w:t>I have seen the same gap from two directions. Inside CVS Health, a national health organisation, engineers are told to put artificial intelligence on systems where a wrong record can reach a clinician, a customer can be charged twice, or a vulnerability can sit unseen, yet they are rarely shown a production bar. Beyond the organisation, public talks and articles still treat the model as the hard problem, so the profession has little practical guidance on testing identity AI without copying live records. Both gaps need the same bar, taught inside the company and made available to practising engineers.</w:t>
      </w:r>
    </w:p>
    <w:p>
      <w:pPr>
        <w:spacing w:before="200" w:after="80"/>
      </w:pPr>
      <w:r>
        <w:rPr>
          <w:rFonts w:ascii="Arial" w:hAnsi="Arial"/>
          <w:b/>
          <w:sz w:val="22"/>
        </w:rPr>
        <w:t>Task</w:t>
      </w:r>
    </w:p>
    <w:p>
      <w:pPr>
        <w:spacing w:after="160"/>
      </w:pPr>
      <w:r>
        <w:rPr>
          <w:rFonts w:ascii="Arial" w:hAnsi="Arial"/>
          <w:b w:val="0"/>
          <w:sz w:val="22"/>
        </w:rPr>
        <w:t>From spring 2019 I have set that bar, first as a teaching assistant, then on a PayPal transactions team, and now at CVS Health, by mentoring and advising, by writing, and by speaking. I set it from live payment and identity systems.</w:t>
      </w:r>
    </w:p>
    <w:p>
      <w:pPr>
        <w:spacing w:before="200" w:after="80"/>
      </w:pPr>
      <w:r>
        <w:rPr>
          <w:rFonts w:ascii="Arial" w:hAnsi="Arial"/>
          <w:b/>
          <w:sz w:val="22"/>
        </w:rPr>
        <w:t>Action</w:t>
      </w:r>
    </w:p>
    <w:p>
      <w:pPr>
        <w:spacing w:after="160"/>
      </w:pPr>
      <w:r>
        <w:rPr>
          <w:rFonts w:ascii="Arial" w:hAnsi="Arial"/>
          <w:b w:val="0"/>
          <w:sz w:val="22"/>
        </w:rPr>
        <w:t>I set the production bar other teams at CVS Health now follow. I own a shared integration library that other teams use to support data from 14 lines of business. I ran working sessions so four teams could adopt it, and I wrote the guide they follow. I designed AI skills that check repositories each morning and produce a ranked report for about 70 repository owners.</w:t>
      </w:r>
    </w:p>
    <w:p>
      <w:pPr>
        <w:spacing w:after="160"/>
      </w:pPr>
      <w:r>
        <w:rPr>
          <w:rFonts w:ascii="Arial" w:hAnsi="Arial"/>
          <w:b w:val="0"/>
          <w:sz w:val="22"/>
        </w:rPr>
        <w:t>From July 2021 to October 2024, on PayPal's Pay Later transactions team, I set the remediation path so a timed-out transaction was corrected once.</w:t>
      </w:r>
    </w:p>
    <w:p>
      <w:pPr>
        <w:spacing w:after="160"/>
      </w:pPr>
      <w:r>
        <w:rPr>
          <w:rFonts w:ascii="Arial" w:hAnsi="Arial"/>
          <w:b w:val="0"/>
          <w:sz w:val="22"/>
        </w:rPr>
        <w:t>In spring 2019 I taught that bar as a teaching assistant at Northwest Missouri State University.</w:t>
      </w:r>
    </w:p>
    <w:p>
      <w:pPr>
        <w:spacing w:after="160"/>
      </w:pPr>
      <w:r>
        <w:rPr>
          <w:rFonts w:ascii="Arial" w:hAnsi="Arial"/>
          <w:b w:val="0"/>
          <w:sz w:val="22"/>
        </w:rPr>
        <w:t>On dev.to I published the method for generating realistic synthetic patient data so identity systems can be tested without copying live records.</w:t>
      </w:r>
    </w:p>
    <w:p>
      <w:pPr>
        <w:spacing w:after="160"/>
      </w:pPr>
      <w:r>
        <w:rPr>
          <w:rFonts w:ascii="Arial" w:hAnsi="Arial"/>
          <w:b w:val="0"/>
          <w:sz w:val="22"/>
        </w:rPr>
        <w:t>In 2026 I delivered a sole-author oral at IEEE INTCEC on privacy-preserving patient record linkage. I spoke at San Francisco Python. Kennesaw State has confirmed me as a Career Compass speaker. I have accepted an invited panel at The AI Summit New York in December 2026.</w:t>
      </w:r>
    </w:p>
    <w:p>
      <w:pPr>
        <w:spacing w:before="200" w:after="80"/>
      </w:pPr>
      <w:r>
        <w:rPr>
          <w:rFonts w:ascii="Arial" w:hAnsi="Arial"/>
          <w:b/>
          <w:sz w:val="22"/>
        </w:rPr>
        <w:t>Result</w:t>
      </w:r>
    </w:p>
    <w:p>
      <w:pPr>
        <w:spacing w:after="160"/>
      </w:pPr>
      <w:r>
        <w:rPr>
          <w:rFonts w:ascii="Arial" w:hAnsi="Arial"/>
          <w:b w:val="0"/>
          <w:sz w:val="22"/>
        </w:rPr>
        <w:t>I inspired a change of digital and IT practice at CVS Health through mentoring and writing. Four teams now use the library and follow the guide I wrote, about 70 repository owners receive the ranked morning report, and teammates now put repetitive work into AI skills. At PayPal, engineers used the automated path I set instead of hand fixes.</w:t>
      </w:r>
    </w:p>
    <w:p>
      <w:pPr>
        <w:spacing w:after="160"/>
      </w:pPr>
      <w:r>
        <w:rPr>
          <w:rFonts w:ascii="Arial" w:hAnsi="Arial"/>
          <w:b w:val="0"/>
          <w:sz w:val="22"/>
        </w:rPr>
        <w:t>The standard is now in the profession through dev.to, San Francisco Python, a community of more than 13,000 members, and IEEE INTCEC 2026, a conference of IEEE, a professional institution, so practising engineers can generate realistic synthetic data rather than copying live records, automate the failure path, and rank the worst risk first.</w:t>
      </w:r>
    </w:p>
    <w:p>
      <w:pPr>
        <w:pStyle w:val="Heading1"/>
      </w:pPr>
      <w:r>
        <w:rPr>
          <w:rFonts w:ascii="Arial" w:hAnsi="Arial"/>
        </w:rPr>
        <w:t>Statement C — Additional Body of work: Responsibility</w:t>
      </w:r>
    </w:p>
    <w:p>
      <w:pPr>
        <w:spacing w:after="160"/>
      </w:pPr>
      <w:r>
        <w:rPr>
          <w:rFonts w:ascii="Arial" w:hAnsi="Arial"/>
          <w:b w:val="0"/>
          <w:sz w:val="22"/>
        </w:rPr>
        <w:t>Tick: Responsibility. 438 words.</w:t>
      </w:r>
    </w:p>
    <w:p>
      <w:pPr>
        <w:spacing w:before="200" w:after="80"/>
      </w:pPr>
      <w:r>
        <w:rPr>
          <w:rFonts w:ascii="Arial" w:hAnsi="Arial"/>
          <w:b/>
          <w:sz w:val="22"/>
        </w:rPr>
        <w:t>Situation</w:t>
      </w:r>
    </w:p>
    <w:p>
      <w:pPr>
        <w:spacing w:after="160"/>
      </w:pPr>
      <w:r>
        <w:rPr>
          <w:rFonts w:ascii="Arial" w:hAnsi="Arial"/>
          <w:b w:val="0"/>
          <w:sz w:val="22"/>
        </w:rPr>
        <w:t>A wrong identity decision in a national health organisation puts one patient's record in front of a clinician treating someone else. Other teams depend on the person who owns that decision. If the rule is delayed or signed off badly, the wrong record can sit in production. From July 2021 to October 2024 I had already been the specialist for live Pay Later decisions at PayPal, where a purchase that should be refused can leave a lender exposed.</w:t>
      </w:r>
    </w:p>
    <w:p>
      <w:pPr>
        <w:spacing w:before="200" w:after="80"/>
      </w:pPr>
      <w:r>
        <w:rPr>
          <w:rFonts w:ascii="Arial" w:hAnsi="Arial"/>
          <w:b/>
          <w:sz w:val="22"/>
        </w:rPr>
        <w:t>Task</w:t>
      </w:r>
    </w:p>
    <w:p>
      <w:pPr>
        <w:spacing w:after="160"/>
      </w:pPr>
      <w:r>
        <w:rPr>
          <w:rFonts w:ascii="Arial" w:hAnsi="Arial"/>
          <w:b w:val="0"/>
          <w:sz w:val="22"/>
        </w:rPr>
        <w:t>I am the specialist for the identity-resolution and record-reconciliation path. I make the technical decisions other teams follow, and I sign off their changes where they touch that path. PayPal trained me to carry that accountability at volume, across seven live markets.</w:t>
      </w:r>
    </w:p>
    <w:p>
      <w:pPr>
        <w:spacing w:before="200" w:after="80"/>
      </w:pPr>
      <w:r>
        <w:rPr>
          <w:rFonts w:ascii="Arial" w:hAnsi="Arial"/>
          <w:b/>
          <w:sz w:val="22"/>
        </w:rPr>
        <w:t>Action</w:t>
      </w:r>
    </w:p>
    <w:p>
      <w:pPr>
        <w:spacing w:after="160"/>
      </w:pPr>
      <w:r>
        <w:rPr>
          <w:rFonts w:ascii="Arial" w:hAnsi="Arial"/>
          <w:b w:val="0"/>
          <w:sz w:val="22"/>
        </w:rPr>
        <w:t>Since October 2024 I am the specialist for the overmatch path and for real-time demographic events. I make and remain accountable for the rule that a high-confidence match may complete automatically and a low-confidence match must go to a person. I take those design decisions to the architecture review board, where they become the required standard. I run working sessions so teams outside my reporting line use one meaning for a demographic change. Designs that touch that path do not proceed until I have reviewed them against that standard. The platform serves more than 185 million people. That figure is the organisation's, not mine.</w:t>
      </w:r>
    </w:p>
    <w:p>
      <w:pPr>
        <w:spacing w:after="160"/>
      </w:pPr>
      <w:r>
        <w:rPr>
          <w:rFonts w:ascii="Arial" w:hAnsi="Arial"/>
          <w:b w:val="0"/>
          <w:sz w:val="22"/>
        </w:rPr>
        <w:t>From July 2021 to October 2024 I worked on a team of about five that owned the Pay Later service deciding in real time whether a purchase was approved, captured, refunded, or disputed. As a code owner I was responsible for its technical decisions, I reviewed and approved other engineers' changes, and I took production releases live. I signed off the idempotency controls so a timed-out retry returns the original charge instead of creating a second one, and in the United Kingdom, France, Germany, Spain, and Italy I signed off the lawful maximum capture amount on the live path. The idempotency rule had to hold in all seven markets: the United States, Australia, the United Kingdom, France, Germany, Spain, and Italy.</w:t>
      </w:r>
    </w:p>
    <w:p>
      <w:pPr>
        <w:spacing w:before="200" w:after="80"/>
      </w:pPr>
      <w:r>
        <w:rPr>
          <w:rFonts w:ascii="Arial" w:hAnsi="Arial"/>
          <w:b/>
          <w:sz w:val="22"/>
        </w:rPr>
        <w:t>Result</w:t>
      </w:r>
    </w:p>
    <w:p>
      <w:pPr>
        <w:spacing w:after="160"/>
      </w:pPr>
      <w:r>
        <w:rPr>
          <w:rFonts w:ascii="Arial" w:hAnsi="Arial"/>
          <w:b w:val="0"/>
          <w:sz w:val="22"/>
        </w:rPr>
        <w:t>Teams that do not report to me now build to decisions I signed off. An uncertain match is no longer written as certain. Manual overmatch work fell by about 40 percent.</w:t>
      </w:r>
    </w:p>
    <w:p>
      <w:pPr>
        <w:spacing w:after="160"/>
      </w:pPr>
      <w:r>
        <w:rPr>
          <w:rFonts w:ascii="Arial" w:hAnsi="Arial"/>
          <w:b w:val="0"/>
          <w:sz w:val="22"/>
        </w:rPr>
        <w:t>At PayPal, engineers could not take a change live on that service without a code owner's review. A timed-out retry returned the original charge, and the same rules held in all seven markets.</w:t>
      </w:r>
    </w:p>
    <w:p>
      <w:pPr>
        <w:spacing w:after="160"/>
      </w:pPr>
      <w:r>
        <w:rPr>
          <w:rFonts w:ascii="Arial" w:hAnsi="Arial"/>
          <w:b w:val="0"/>
          <w:sz w:val="22"/>
        </w:rPr>
        <w:t>Across two employers I own the decision a critical system must get right, I sign off others' technical changes on that path, and I remain accountable for the impact.</w:t>
      </w:r>
    </w:p>
    <w:p>
      <w:pPr>
        <w:pStyle w:val="Heading1"/>
      </w:pPr>
      <w:r>
        <w:rPr>
          <w:rFonts w:ascii="Arial" w:hAnsi="Arial"/>
        </w:rPr>
        <w:t>Statement D — Standing: Public influencer</w:t>
      </w:r>
    </w:p>
    <w:p>
      <w:pPr>
        <w:spacing w:after="160"/>
      </w:pPr>
      <w:r>
        <w:rPr>
          <w:rFonts w:ascii="Arial" w:hAnsi="Arial"/>
          <w:b w:val="0"/>
          <w:sz w:val="22"/>
        </w:rPr>
        <w:t>Tick: Public influencer. 391 words.</w:t>
      </w:r>
    </w:p>
    <w:p>
      <w:pPr>
        <w:spacing w:before="200" w:after="80"/>
      </w:pPr>
      <w:r>
        <w:rPr>
          <w:rFonts w:ascii="Arial" w:hAnsi="Arial"/>
          <w:b/>
          <w:sz w:val="22"/>
        </w:rPr>
        <w:t>Situation</w:t>
      </w:r>
    </w:p>
    <w:p>
      <w:pPr>
        <w:spacing w:after="160"/>
      </w:pPr>
      <w:r>
        <w:rPr>
          <w:rFonts w:ascii="Arial" w:hAnsi="Arial"/>
          <w:b w:val="0"/>
          <w:sz w:val="22"/>
        </w:rPr>
        <w:t>My work on healthcare identity and payment systems showed me that artificial intelligence fails when records link to the wrong person or when models cannot be tested without copying live patient information. Engineers working under privacy requirements such as HIPAA need practical methods for synthetic testing and privacy-preserving linkage. Those methods were not widely available outside large employers.</w:t>
      </w:r>
    </w:p>
    <w:p>
      <w:pPr>
        <w:spacing w:before="200" w:after="80"/>
      </w:pPr>
      <w:r>
        <w:rPr>
          <w:rFonts w:ascii="Arial" w:hAnsi="Arial"/>
          <w:b/>
          <w:sz w:val="22"/>
        </w:rPr>
        <w:t>Task</w:t>
      </w:r>
    </w:p>
    <w:p>
      <w:pPr>
        <w:spacing w:after="160"/>
      </w:pPr>
      <w:r>
        <w:rPr>
          <w:rFonts w:ascii="Arial" w:hAnsi="Arial"/>
          <w:b w:val="0"/>
          <w:sz w:val="22"/>
        </w:rPr>
        <w:t>I set out to put that guidance in front of the profession through external speaking, practitioner writing, a sole-author journal paper, and conference review service, so practising engineers outside my employer could apply those methods without copying live patient records. Years on live identity and payment systems made me the person to show the methods with production evidence.</w:t>
      </w:r>
    </w:p>
    <w:p>
      <w:pPr>
        <w:spacing w:before="200" w:after="80"/>
      </w:pPr>
      <w:r>
        <w:rPr>
          <w:rFonts w:ascii="Arial" w:hAnsi="Arial"/>
          <w:b/>
          <w:sz w:val="22"/>
        </w:rPr>
        <w:t>Action</w:t>
      </w:r>
    </w:p>
    <w:p>
      <w:pPr>
        <w:spacing w:after="160"/>
      </w:pPr>
      <w:r>
        <w:rPr>
          <w:rFonts w:ascii="Arial" w:hAnsi="Arial"/>
          <w:b w:val="0"/>
          <w:sz w:val="22"/>
        </w:rPr>
        <w:t>I delivered a keynote at AIC 2026, the IEEE 5th World Conference on Applied Intelligence and Computing, after the conference General Chair confirmed me. The keynote was on artificial intelligence in regulated industries. A recording is available.</w:t>
      </w:r>
    </w:p>
    <w:p>
      <w:pPr>
        <w:spacing w:after="160"/>
      </w:pPr>
      <w:r>
        <w:rPr>
          <w:rFonts w:ascii="Arial" w:hAnsi="Arial"/>
          <w:b w:val="0"/>
          <w:sz w:val="22"/>
        </w:rPr>
        <w:t>I had already spoken at San Francisco Python on generating realistic synthetic data. In these delivered talks I explained how synthetic patient data can be used to test identity systems without copying live records, and how privacy-preserving linkage supports HIPAA-aligned engineering practice.</w:t>
      </w:r>
    </w:p>
    <w:p>
      <w:pPr>
        <w:spacing w:after="160"/>
      </w:pPr>
      <w:r>
        <w:rPr>
          <w:rFonts w:ascii="Arial" w:hAnsi="Arial"/>
          <w:b w:val="0"/>
          <w:sz w:val="22"/>
        </w:rPr>
        <w:t>I have accepted an invited panel at The AI Summit New York in December 2026 on operating data platforms at scale.</w:t>
      </w:r>
    </w:p>
    <w:p>
      <w:pPr>
        <w:spacing w:after="160"/>
      </w:pPr>
      <w:r>
        <w:rPr>
          <w:rFonts w:ascii="Arial" w:hAnsi="Arial"/>
          <w:b w:val="0"/>
          <w:sz w:val="22"/>
        </w:rPr>
        <w:t>On dev.to I published a practical article on generating realistic synthetic patient data for identity testing. As sole author I published a 2026 International Journal of Computer Applications paper on generative artificial intelligence for synthetic patient data. Authority Magazine interviewed me for its Guardians of AI series on keeping artificial intelligence safe.</w:t>
      </w:r>
    </w:p>
    <w:p>
      <w:pPr>
        <w:spacing w:after="160"/>
      </w:pPr>
      <w:r>
        <w:rPr>
          <w:rFonts w:ascii="Arial" w:hAnsi="Arial"/>
          <w:b w:val="0"/>
          <w:sz w:val="22"/>
        </w:rPr>
        <w:t>Conference organisers selected me for technical program committee roles at the 2026 IEEE World AI IoT Congress, ICAIE 2026, and ISGAIE 2026, and for the International Program Committee at BDAA 2026. I am listed publicly. I serve in two IEEE journal review pools.</w:t>
      </w:r>
    </w:p>
    <w:p>
      <w:pPr>
        <w:spacing w:before="200" w:after="80"/>
      </w:pPr>
      <w:r>
        <w:rPr>
          <w:rFonts w:ascii="Arial" w:hAnsi="Arial"/>
          <w:b/>
          <w:sz w:val="22"/>
        </w:rPr>
        <w:t>Result</w:t>
      </w:r>
    </w:p>
    <w:p>
      <w:pPr>
        <w:spacing w:after="160"/>
      </w:pPr>
      <w:r>
        <w:rPr>
          <w:rFonts w:ascii="Arial" w:hAnsi="Arial"/>
          <w:b w:val="0"/>
          <w:sz w:val="22"/>
        </w:rPr>
        <w:t>The San Francisco Python community has more than 13,000 members. The AIC 2026 keynote recording is publicly available. Continued invitations to speak, including an accepted panel at The AI Summit New York in December 2026, show sustained demand. Committee roles at four 2026 international conferences show trust in that subject knowledge. Evidence of this influence is publicly accessible through the AIC keynote recording, dev.to, the International Journal of Computer Applications, Authority Magazine, and public committee listings, well beyond my employer.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