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Polkadot Lightpaper</w:t>
        <w:br w:type="textWrapping"/>
        <w:t>Polkadotの紹介</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Polkadotの紹介</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「Polkadotは、強い企業や国の機関に対し、個人に力を与える。」</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ーギャビン・ウッズ博士</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Polkadot創設者</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目次</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はじめに</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概要</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Sharding</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拡張性（スケーラビリティ）</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Upgradeability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透明性のあるガバナンス</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Polkadotの構造</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Polkadotコンセンサス役割分担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Polkadotガバナンス役割分担</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DOTトークン</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Kusamaネットワーク</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Substrate</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Parityについて</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Polkadotの仲間</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問い合わせ</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はじめに</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わずかな信頼で</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より多くの真実を</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私たちは、毎日自分自身の興味や、受けるべき恩恵と異なるものを提供する一握りの大企業がコントロールするテクノロジーに触れながら生きています。</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もし彼らのアプリを使用し、その恩恵に授かりたいならば、多くの場合読むことのない利用規約に同意させられ、私たちが彼らが提供するツールを使用することにより生成されるデータを企業たちの思いのままに使うことを許可しなければならないのです。</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このデータは、その人がどのような生活を送っているかについて、分析もできてしまうため、原油よりも価値あるものとなっています。 私たちはこれが失われず、盗まれず、また悪用されないことを信じることしかできず、無料で手放しているのです。</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同時に、オープンソースおよびブロックチェーンのような分散型技術を利用すれば、中央集権ではなく、個人が力を持つことを優先するシステムの構築が可能であることが分かっています。 With these new systems, there’s no need to trust any third parties not to be evil.</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But blockchain technology, in its current form, isn’t ready to break the corporate stranglehold on the web just yet. Despite the promise and the progress made, we have yet to see significant real-world deployment of the technology.</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Overview</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next-generation blockchain protocol that unites an entire network of purpose-built blockchains, allowing them to operate seamlessly together at scale. Because Polkadot allows any type of data to be sent between any type of blockchain, it unlocks a wide range of real-world use cases.</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bringing together the best features from multiple specialized blockchains, Polkadot paves the way for new decentralized marketplaces to emerge, offering fairer ways to access services through a variety of apps and providers.</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While blockchains have demonstrated great promise in several fields—Internet of Things (IoT), finance, governance, identity management, web decentralization, and asset-tracking to name a few—design limitations in previous systems have largely hindered large-scale adoption.</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design offers several distinct advantages over existing and legacy networks, including </w:t>
      </w:r>
      <w:r>
        <w:rPr>
          <w:rFonts w:ascii="Helvetica Neue" w:hAnsi="Helvetica Neue" w:cs="Helvetica Neue" w:eastAsia="Helvetica Neue"/>
          <w:i w:val="1"/>
          <w:sz w:val="28"/>
          <w:szCs w:val="28"/>
        </w:rPr>
        <w:t xml:space="preserve">heterogeneous sharding, scalability,</w:t>
      </w:r>
      <w:r>
        <w:rPr>
          <w:rFonts w:ascii="Helvetica Neue" w:hAnsi="Helvetica Neue" w:cs="Helvetica Neue" w:eastAsia="Helvetica Neue"/>
          <w:sz w:val="28"/>
          <w:szCs w:val="28"/>
        </w:rPr>
        <w:t xml:space="preserve"> </w:t>
      </w:r>
      <w:r>
        <w:rPr>
          <w:rFonts w:ascii="Helvetica Neue" w:hAnsi="Helvetica Neue" w:cs="Helvetica Neue" w:eastAsia="Helvetica Neue"/>
          <w:i w:val="1"/>
          <w:sz w:val="28"/>
          <w:szCs w:val="28"/>
        </w:rPr>
        <w:t xml:space="preserve">upgradeability, transparent governance and cross-chain composability.</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THIS IS</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BLOCKCHAIN UNBOUNDED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Heterogeneous Sharding</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Many chains,</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network</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Will there eventually be one blockchain to rule them all? We don’t think so.</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blockchains make different tradeoffs to support specific features and use cases, and as chain specialization increases, the need to transact between them will only increase over time.</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a sharded blockchain, meaning it connects several chains together in a single network, allowing them to process transactions in parallel and exchange data between chains with security guarantees.</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unique heterogeneous sharding model, each chain in the network can be optimized for a specific use case rather than being forced to adapt to a one-size-fits-all model.</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More chains and more specialization means more possibilities for innovation.</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Scalability</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Blockchains</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that grow</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One blockchain isn’t enough to support a bustling future of decentralized applications. The limited throughput and lack of runtime specialization in early blockchains made them impractical for scaling in many real-world use cases.</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bridging multiple specialized chains together into one sharded network, Polkadot allows for multiple transactions to be</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processed in parallel. This system removes the bottlenecks that occurred on earlier networks that processed transactions one-by-one.</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will be able to scale even further in the future with a planned feature known as </w:t>
      </w:r>
      <w:r>
        <w:rPr>
          <w:rFonts w:ascii="Helvetica Neue" w:hAnsi="Helvetica Neue" w:cs="Helvetica Neue" w:eastAsia="Helvetica Neue"/>
          <w:i w:val="1"/>
          <w:sz w:val="28"/>
          <w:szCs w:val="28"/>
        </w:rPr>
        <w:t xml:space="preserve">nested relay chains</w:t>
      </w:r>
      <w:r>
        <w:rPr>
          <w:rFonts w:ascii="Helvetica Neue" w:hAnsi="Helvetica Neue" w:cs="Helvetica Neue" w:eastAsia="Helvetica Neue"/>
          <w:sz w:val="28"/>
          <w:szCs w:val="28"/>
        </w:rPr>
        <w:t xml:space="preserve">, which will increase the</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number of shards that can be added to the network.</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Upgradeability</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Future-proof your blockchain with forkless upgrades</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computer games were shipped on printed circuit boards known as cartridges. These cartridges were expensive and time-consuming to make as the code was etched onto the chips, leaving no room for error.</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These days we’re used to our apps, games and browsers updating frequently, even automatically. Developers fix bugs before they can cause problems, and new features are added as better solutions become available.</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Like all software, blockchains need upgrades in order to stay relevant. However, it’s far more difficult to upgrade a blockchain than an app, game, or browser. Upgrading conventional blockchains requires forking the</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 often taking months of work, and particularly contentious hard forks can break apart a community.</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revolutionizes this process, enabling blockchains to upgrade themselves without the need to fork the chain. These forkless upgrades are enacted through Polkadot’s transparent on-chain governance system.</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With this feature, Polkadot enables projects to stay agile, adapting and evolving with the pace of technology. It also significantly reduces the risk associated with contentious hard forks—a severe barrier to entry for many organizations.</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Transparent Governance</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Community</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powered</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had no formal governance procedures. Individual stakeholders were powerless to propose or veto protocol changes unless they knew the right people.</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different. It’s governed by anyone who owns DOTs, Polkadot’s native currency, in a fair and transparent way.</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All DOT holders are able to propose a change to the protocol or vote on existing proposals. They can also help elect council members who represent passive stakeholders within Polkadot’s governance system.</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Cross-Chain Composability</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Collaborative</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by design</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Early blockchains were like walled gardens closed off to other networks. But as the number of chains for specific use cases continues to rise, so does the need for cross-chain communication and interoperability.</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Polkadot’s cross-chain composability and message passing allows shards to communicate, exchange value, and share functionality, opening the door to a new wave of innovation.</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Polkadot’s ability to bridge blockchains, Polkadot shards will also be able to interact with popular decentralized-finance protocols and cryptoassets on external networks like Ethereum.</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Polkadot Architecture</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Connecting</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dots</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unites a network of</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heterogeneous blockchain shards</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called parachains. These chains</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connect to and are secured by</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Polkadot Relay Chain. They</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also connect with external</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networks via bridges.</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Relay Chain</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heart of Polkadot, responsible for the network’s security, consensus and cross-chain interoperability.</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Parachains</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Sovereign blockchains that can have their own tokens and optimize their functionality for specific use cases. To connect to the Relay Chain, parachains can pay as they go or lease a slot for continuous connectivity.</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Special blockchains that allow Polkadot shards to connect to and communicate with external networks like Ethereum and Bitcoin.</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Polkadot Consensus Roles</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Validators</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staking DOTs, validating proofs from collators and participating in consensus with other validators.</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Maintain shards by collecting shard transactions from users and producing proofs for validators.</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Secure the Relay Chain by selecting trustworthy validators and staking DOTs.</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Monitor the network and report bad behavior to validators. Collators and any parachain full node can perform the fisherman role.</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Governance Roles</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Council Members</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Elected to represent passive stakeholders in two primary governance roles: proposing referenda and vetoing dangerous or malicious referenda.</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Technical Committee</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Composed of teams actively building</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Can propose emergency</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referenda, together with the council,</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 fast-tracked voting and implementation.</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DOT token serves three</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distinct purposes: governance</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over the network, operation and</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token holders have complete control over the protocol. All privileges, which on other platforms are exclusive to miners, will be given to the Relay Chain participants (DOT holders), including managing exceptional events such as protocol upgrades and fixes.</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Operation</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 incentivizes token holders to behave in honest ways. Good actors are rewarded by this mechanism whilst bad actors will lose their stake in the network. This ensures the network stays secure.</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Bonding</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New parachains are added by bonding tokens. Outdated or non-useful parachains are removed by removing bonded tokens. This is a form of proof of stake.</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Play with chaos on Kusama, Polkadot’s wild cousin</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Network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an early, unaudited and unrefined release of Polkadot created to test the network’s technology and economic incentives in a real-world environment. It’s also the perfect place for parachain developers to test ideas before deploying to Polkadot.</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 is owned and governed by a community of supporters who hold KSM tokens. There is no central kill switch, meaning it will live on as an independent community network.</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Ready to break stuff? Find out how to get KSM tokens and start staking, validating and participating in governance by reading the user guide.</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Substrate</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 builder, Your blockchain upgrader,</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Your blockchain.</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your blockchain-building framework, making it easy to create a custom blockchain optimized for your unique use case.</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is fully modular and flexible: mix and match ready-made components and build out your core business logic while leaving the rest to the framework. Plug-and-play modules like consensus, networking and finality give you the freedom to focus on your specific area of expertise, saving you substantial time and effort in the development process. Keep things lean by implementing only the necessary functionality on your custom blockchain.</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About 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 xml:space="preserve">About 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Friends of</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Polkadot</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&amp; Substrate</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Follow Polkadot on:</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