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D595D" w14:textId="2B828201" w:rsidR="005144A3" w:rsidRDefault="005144A3">
      <w:pPr>
        <w:rPr>
          <w:b/>
          <w:bCs/>
        </w:rPr>
      </w:pPr>
      <w:r w:rsidRPr="005144A3">
        <w:rPr>
          <w:b/>
          <w:bCs/>
        </w:rPr>
        <w:t xml:space="preserve">Where Healing Happens: Mapping Neighborhood Opportunity, Environmental Exposures, and Psychosocial Well-Being Among Adolescents and Young Adults </w:t>
      </w:r>
      <w:r w:rsidR="005E3FEB">
        <w:rPr>
          <w:b/>
          <w:bCs/>
        </w:rPr>
        <w:t>w</w:t>
      </w:r>
      <w:r w:rsidRPr="005144A3">
        <w:rPr>
          <w:b/>
          <w:bCs/>
        </w:rPr>
        <w:t>ith Cancer</w:t>
      </w:r>
      <w:r w:rsidR="001B0A1E">
        <w:rPr>
          <w:b/>
          <w:bCs/>
        </w:rPr>
        <w:t xml:space="preserve"> </w:t>
      </w:r>
    </w:p>
    <w:p w14:paraId="1B6D03B3" w14:textId="4F6E2F68" w:rsidR="00975950" w:rsidRPr="00DE4300" w:rsidRDefault="005144A3" w:rsidP="005144A3">
      <w:r w:rsidRPr="00DE4300">
        <w:t>Sylwia Feibelman</w:t>
      </w:r>
      <w:r w:rsidRPr="00DE4300">
        <w:rPr>
          <w:rFonts w:ascii="Arial" w:hAnsi="Arial" w:cs="Arial"/>
        </w:rPr>
        <w:t>​</w:t>
      </w:r>
      <w:r w:rsidRPr="00DE4300">
        <w:rPr>
          <w:rFonts w:ascii="Arial" w:hAnsi="Arial" w:cs="Arial"/>
          <w:vertAlign w:val="superscript"/>
        </w:rPr>
        <w:t>1</w:t>
      </w:r>
      <w:r w:rsidRPr="00DE4300">
        <w:rPr>
          <w:rFonts w:ascii="Arial" w:hAnsi="Arial" w:cs="Arial"/>
        </w:rPr>
        <w:t xml:space="preserve">, </w:t>
      </w:r>
      <w:r w:rsidRPr="00DE4300">
        <w:t>Kathy Russell</w:t>
      </w:r>
      <w:r w:rsidRPr="00DE4300">
        <w:rPr>
          <w:rFonts w:ascii="Arial" w:hAnsi="Arial" w:cs="Arial"/>
        </w:rPr>
        <w:t>​</w:t>
      </w:r>
      <w:r w:rsidRPr="00DE4300">
        <w:rPr>
          <w:vertAlign w:val="superscript"/>
        </w:rPr>
        <w:t>1</w:t>
      </w:r>
      <w:r w:rsidRPr="00DE4300">
        <w:t>, Kelly Pimenta</w:t>
      </w:r>
      <w:r w:rsidRPr="00DE4300">
        <w:rPr>
          <w:rFonts w:ascii="Arial" w:hAnsi="Arial" w:cs="Arial"/>
        </w:rPr>
        <w:t>​</w:t>
      </w:r>
      <w:r w:rsidRPr="00DE4300">
        <w:rPr>
          <w:vertAlign w:val="superscript"/>
        </w:rPr>
        <w:t>2</w:t>
      </w:r>
      <w:r w:rsidRPr="00DE4300">
        <w:t>, Nazneen Kaleem Shaikh</w:t>
      </w:r>
      <w:r w:rsidRPr="00DE4300">
        <w:rPr>
          <w:rFonts w:ascii="Arial" w:hAnsi="Arial" w:cs="Arial"/>
        </w:rPr>
        <w:t>​</w:t>
      </w:r>
      <w:r w:rsidRPr="00DE4300">
        <w:rPr>
          <w:vertAlign w:val="superscript"/>
        </w:rPr>
        <w:t>1</w:t>
      </w:r>
      <w:r w:rsidRPr="00DE4300">
        <w:t>, Pei Tan</w:t>
      </w:r>
      <w:r w:rsidRPr="00DE4300">
        <w:rPr>
          <w:vertAlign w:val="superscript"/>
        </w:rPr>
        <w:t>3</w:t>
      </w:r>
      <w:r w:rsidRPr="00DE4300">
        <w:rPr>
          <w:rFonts w:ascii="Arial" w:hAnsi="Arial" w:cs="Arial"/>
        </w:rPr>
        <w:t xml:space="preserve">​, </w:t>
      </w:r>
      <w:r w:rsidRPr="00DE4300">
        <w:t>Ketaki Saokar</w:t>
      </w:r>
      <w:r w:rsidRPr="00DE4300">
        <w:rPr>
          <w:rFonts w:ascii="Arial" w:hAnsi="Arial" w:cs="Arial"/>
        </w:rPr>
        <w:t>​</w:t>
      </w:r>
      <w:r w:rsidRPr="00DE4300">
        <w:rPr>
          <w:vertAlign w:val="superscript"/>
        </w:rPr>
        <w:t>1</w:t>
      </w:r>
      <w:r w:rsidRPr="00DE4300">
        <w:t>, Silvia Arantza Sanchez Guerrero</w:t>
      </w:r>
      <w:r w:rsidRPr="00DE4300">
        <w:rPr>
          <w:rFonts w:ascii="Arial" w:hAnsi="Arial" w:cs="Arial"/>
        </w:rPr>
        <w:t>​</w:t>
      </w:r>
      <w:r w:rsidRPr="00DE4300">
        <w:rPr>
          <w:vertAlign w:val="superscript"/>
        </w:rPr>
        <w:t>4</w:t>
      </w:r>
      <w:r w:rsidRPr="00DE4300">
        <w:t xml:space="preserve">, </w:t>
      </w:r>
      <w:r w:rsidR="00DE4300" w:rsidRPr="00DE4300">
        <w:t>Liu Yang</w:t>
      </w:r>
      <w:r w:rsidR="00DE4300" w:rsidRPr="00DE4300">
        <w:rPr>
          <w:rFonts w:ascii="Arial" w:hAnsi="Arial" w:cs="Arial"/>
        </w:rPr>
        <w:t>​</w:t>
      </w:r>
      <w:r w:rsidR="00DE4300" w:rsidRPr="00DE4300">
        <w:rPr>
          <w:vertAlign w:val="superscript"/>
        </w:rPr>
        <w:t>5</w:t>
      </w:r>
      <w:r w:rsidR="00DE4300" w:rsidRPr="00DE4300">
        <w:t>, Meghan Carr</w:t>
      </w:r>
      <w:r w:rsidR="00DE4300" w:rsidRPr="00DE4300">
        <w:rPr>
          <w:rFonts w:ascii="Arial" w:hAnsi="Arial" w:cs="Arial"/>
        </w:rPr>
        <w:t>​</w:t>
      </w:r>
      <w:r w:rsidR="00DE4300" w:rsidRPr="00DE4300">
        <w:rPr>
          <w:vertAlign w:val="superscript"/>
        </w:rPr>
        <w:t>6</w:t>
      </w:r>
      <w:r w:rsidR="00DE4300" w:rsidRPr="00DE4300">
        <w:t>, Joseph Kip Handwerker</w:t>
      </w:r>
      <w:r w:rsidR="00DE4300" w:rsidRPr="00DE4300">
        <w:rPr>
          <w:rFonts w:ascii="Arial" w:hAnsi="Arial" w:cs="Arial"/>
        </w:rPr>
        <w:t>​</w:t>
      </w:r>
      <w:r w:rsidR="00DE4300" w:rsidRPr="00DE4300">
        <w:rPr>
          <w:vertAlign w:val="superscript"/>
        </w:rPr>
        <w:t>1</w:t>
      </w:r>
      <w:r w:rsidR="00DE4300" w:rsidRPr="00DE4300">
        <w:t>, Rachel Webster</w:t>
      </w:r>
      <w:r w:rsidR="00DE4300" w:rsidRPr="00DE4300">
        <w:rPr>
          <w:vertAlign w:val="superscript"/>
        </w:rPr>
        <w:t>1</w:t>
      </w:r>
    </w:p>
    <w:p w14:paraId="3698C843" w14:textId="29F99E57" w:rsidR="005144A3" w:rsidRPr="00DE4300" w:rsidRDefault="005144A3" w:rsidP="005144A3">
      <w:pPr>
        <w:pStyle w:val="ListParagraph"/>
        <w:numPr>
          <w:ilvl w:val="0"/>
          <w:numId w:val="2"/>
        </w:numPr>
      </w:pPr>
      <w:r w:rsidRPr="00DE4300">
        <w:t>Department of Psychology and Biobehavioral Sciences, St. Jude</w:t>
      </w:r>
      <w:r w:rsidRPr="00DE4300">
        <w:rPr>
          <w:rFonts w:ascii="Arial" w:hAnsi="Arial" w:cs="Arial"/>
        </w:rPr>
        <w:t>​</w:t>
      </w:r>
    </w:p>
    <w:p w14:paraId="1C324260" w14:textId="77777777" w:rsidR="005144A3" w:rsidRPr="00DE4300" w:rsidRDefault="005144A3" w:rsidP="005144A3">
      <w:pPr>
        <w:pStyle w:val="ListParagraph"/>
        <w:numPr>
          <w:ilvl w:val="0"/>
          <w:numId w:val="2"/>
        </w:numPr>
      </w:pPr>
      <w:r w:rsidRPr="00DE4300">
        <w:t>Department of Global Pediatric Medicine, St. Jude</w:t>
      </w:r>
      <w:r w:rsidRPr="00DE4300">
        <w:rPr>
          <w:rFonts w:ascii="Arial" w:hAnsi="Arial" w:cs="Arial"/>
        </w:rPr>
        <w:t>​</w:t>
      </w:r>
    </w:p>
    <w:p w14:paraId="2B5FAF6E" w14:textId="77777777" w:rsidR="005144A3" w:rsidRPr="00DE4300" w:rsidRDefault="005144A3" w:rsidP="005144A3">
      <w:pPr>
        <w:pStyle w:val="ListParagraph"/>
        <w:numPr>
          <w:ilvl w:val="0"/>
          <w:numId w:val="2"/>
        </w:numPr>
      </w:pPr>
      <w:r w:rsidRPr="00DE4300">
        <w:t xml:space="preserve">St. Jude Graduate School of Biomedical Sciences </w:t>
      </w:r>
      <w:r w:rsidRPr="00DE4300">
        <w:rPr>
          <w:rFonts w:ascii="Arial" w:hAnsi="Arial" w:cs="Arial"/>
        </w:rPr>
        <w:t>​</w:t>
      </w:r>
    </w:p>
    <w:p w14:paraId="35EBF179" w14:textId="77777777" w:rsidR="00DE4300" w:rsidRPr="00DE4300" w:rsidRDefault="005144A3" w:rsidP="005144A3">
      <w:pPr>
        <w:pStyle w:val="ListParagraph"/>
        <w:numPr>
          <w:ilvl w:val="0"/>
          <w:numId w:val="2"/>
        </w:numPr>
        <w:rPr>
          <w:lang w:val="pt-BR"/>
        </w:rPr>
      </w:pPr>
      <w:r w:rsidRPr="00DE4300">
        <w:rPr>
          <w:lang w:val="pt-BR"/>
        </w:rPr>
        <w:t>Bachillerato Tecnológico de Educacióny promoción Deportiva</w:t>
      </w:r>
      <w:r w:rsidRPr="00DE4300">
        <w:rPr>
          <w:rFonts w:ascii="Arial" w:hAnsi="Arial" w:cs="Arial"/>
          <w:lang w:val="pt-BR"/>
        </w:rPr>
        <w:t>​</w:t>
      </w:r>
    </w:p>
    <w:p w14:paraId="7AD1D849" w14:textId="77777777" w:rsidR="00DE4300" w:rsidRPr="00DE4300" w:rsidRDefault="005144A3" w:rsidP="005144A3">
      <w:pPr>
        <w:pStyle w:val="ListParagraph"/>
        <w:numPr>
          <w:ilvl w:val="0"/>
          <w:numId w:val="2"/>
        </w:numPr>
      </w:pPr>
      <w:r w:rsidRPr="00DE4300">
        <w:t>Center for Translational Pharmacology, St. Jude</w:t>
      </w:r>
      <w:r w:rsidRPr="00DE4300">
        <w:rPr>
          <w:rFonts w:ascii="Arial" w:hAnsi="Arial" w:cs="Arial"/>
        </w:rPr>
        <w:t>​</w:t>
      </w:r>
    </w:p>
    <w:p w14:paraId="5EDE2E04" w14:textId="4DAA4F30" w:rsidR="005144A3" w:rsidRPr="00DE4300" w:rsidRDefault="005144A3" w:rsidP="00DE4300">
      <w:pPr>
        <w:pStyle w:val="ListParagraph"/>
        <w:numPr>
          <w:ilvl w:val="0"/>
          <w:numId w:val="2"/>
        </w:numPr>
      </w:pPr>
      <w:proofErr w:type="spellStart"/>
      <w:r w:rsidRPr="00DE4300">
        <w:t>FeedFacts</w:t>
      </w:r>
      <w:r w:rsidRPr="005E3FEB">
        <w:rPr>
          <w:vertAlign w:val="superscript"/>
        </w:rPr>
        <w:t>TM</w:t>
      </w:r>
      <w:proofErr w:type="spellEnd"/>
      <w:r w:rsidRPr="005E3FEB">
        <w:rPr>
          <w:rFonts w:ascii="Arial" w:hAnsi="Arial" w:cs="Arial"/>
          <w:vertAlign w:val="superscript"/>
        </w:rPr>
        <w:t>​</w:t>
      </w:r>
    </w:p>
    <w:p w14:paraId="386A8BED" w14:textId="77777777" w:rsidR="005144A3" w:rsidRDefault="005144A3">
      <w:pPr>
        <w:rPr>
          <w:b/>
          <w:bCs/>
        </w:rPr>
      </w:pPr>
    </w:p>
    <w:p w14:paraId="72DC2F6E" w14:textId="025A141D" w:rsidR="005144A3" w:rsidRDefault="005144A3">
      <w:r w:rsidRPr="005144A3">
        <w:rPr>
          <w:b/>
          <w:bCs/>
        </w:rPr>
        <w:t>Background:</w:t>
      </w:r>
      <w:r w:rsidRPr="005144A3">
        <w:t xml:space="preserve"> Mental health and quality of life among adolescents and young adult</w:t>
      </w:r>
      <w:r>
        <w:t xml:space="preserve"> (AYA)</w:t>
      </w:r>
      <w:r w:rsidRPr="005144A3">
        <w:t xml:space="preserve"> </w:t>
      </w:r>
      <w:r w:rsidR="005D4973">
        <w:t>survivors of</w:t>
      </w:r>
      <w:r w:rsidR="00D24AC3">
        <w:t xml:space="preserve"> childhood</w:t>
      </w:r>
      <w:r>
        <w:t xml:space="preserve"> cancer</w:t>
      </w:r>
      <w:r w:rsidRPr="005144A3">
        <w:t xml:space="preserve"> may be influenced by the environmental and socioeconomic conditions where they live. However, neighborhood-level factors are rarely integrated with patient-reported psychosocial outcomes </w:t>
      </w:r>
      <w:r>
        <w:t>in pediatric oncology research.</w:t>
      </w:r>
    </w:p>
    <w:p w14:paraId="206338E0" w14:textId="38A08D84" w:rsidR="005144A3" w:rsidRDefault="005144A3">
      <w:r w:rsidRPr="005144A3">
        <w:rPr>
          <w:b/>
          <w:bCs/>
        </w:rPr>
        <w:t>Methods:</w:t>
      </w:r>
      <w:r w:rsidRPr="005144A3">
        <w:t xml:space="preserve"> We developed a proof-of-concept geospatial workflow linking deidentified patient data with publicly available neighborhood-level measures. The sample included 490</w:t>
      </w:r>
      <w:r>
        <w:t xml:space="preserve"> St. Jude cancer survivors</w:t>
      </w:r>
      <w:r w:rsidRPr="005144A3">
        <w:t xml:space="preserve"> aged 13–24 years. Environmental measures included green space, air and noise pollution, and land use. Socioeconomic conditions were assessed using the 2023 Child Opportunity Index (COI) and its education, health and environment, and social and economic domains. Psychosocial outcomes included Patient-Reported Outcomes Measurement Information System</w:t>
      </w:r>
      <w:r>
        <w:t xml:space="preserve"> (PROMIS)</w:t>
      </w:r>
      <w:r w:rsidRPr="005144A3">
        <w:t xml:space="preserve"> measures and the Multidimensional Scale of Perceived Social Support (MSPSS). We used geographic information systems </w:t>
      </w:r>
      <w:r w:rsidR="00B062EF">
        <w:t xml:space="preserve">(GIS) </w:t>
      </w:r>
      <w:r w:rsidRPr="005144A3">
        <w:t>to visualize patient distributions and neighborhood characteristics. Correlation, analysis of variance, and chi-square analyses were used to explore relationships among environmental conditions, neighborhood opportunity, age, gender, psychological well-being, and perceived social support.</w:t>
      </w:r>
    </w:p>
    <w:p w14:paraId="567FDC8A" w14:textId="4E14DA8D" w:rsidR="005144A3" w:rsidRDefault="005144A3">
      <w:r w:rsidRPr="005144A3">
        <w:rPr>
          <w:b/>
          <w:bCs/>
        </w:rPr>
        <w:t>Results:</w:t>
      </w:r>
      <w:r w:rsidRPr="005144A3">
        <w:t xml:space="preserve"> The mean patient age was 18.7</w:t>
      </w:r>
      <w:r>
        <w:t>±3.6</w:t>
      </w:r>
      <w:r w:rsidRPr="005144A3">
        <w:t xml:space="preserve"> years</w:t>
      </w:r>
      <w:r>
        <w:t>,</w:t>
      </w:r>
      <w:r w:rsidRPr="005144A3">
        <w:t xml:space="preserve"> and 51.9% were female. </w:t>
      </w:r>
      <w:r w:rsidR="005E3FEB" w:rsidRPr="005144A3">
        <w:t xml:space="preserve">Half of the sample had at least one elevated environmental exposure. </w:t>
      </w:r>
      <w:r w:rsidRPr="005144A3">
        <w:t>The mean proportion of surrounding land classified as green</w:t>
      </w:r>
      <w:r w:rsidR="005E3FEB">
        <w:t>, or not heavily urbanized,</w:t>
      </w:r>
      <w:r w:rsidRPr="005144A3">
        <w:t xml:space="preserve"> was 0.59</w:t>
      </w:r>
      <w:r>
        <w:t>±0.32,</w:t>
      </w:r>
      <w:r w:rsidRPr="005144A3">
        <w:t xml:space="preserve"> while the mean overall COI score was 44.8</w:t>
      </w:r>
      <w:r>
        <w:t>±26.3</w:t>
      </w:r>
      <w:r w:rsidRPr="005144A3">
        <w:t xml:space="preserve">. Higher overall COI was associated with greater perceived social support (r=0.156, p=.001), including support from significant others (r=0.145, p=.001), family (r=0.140, p=.002), and friends (r=0.097, p=.033). Neighborhood </w:t>
      </w:r>
      <w:r w:rsidRPr="005144A3">
        <w:lastRenderedPageBreak/>
        <w:t>opportunity also differed by age group, including overall COI (p=.067), social and economic opportunity (p=.046), elementary education opportunity (p=.023), and employment opportunity (p=.031).</w:t>
      </w:r>
    </w:p>
    <w:p w14:paraId="0D1CF88D" w14:textId="6383417C" w:rsidR="005144A3" w:rsidRDefault="005144A3">
      <w:r w:rsidRPr="005144A3">
        <w:rPr>
          <w:b/>
          <w:bCs/>
        </w:rPr>
        <w:t>Conclusions:</w:t>
      </w:r>
      <w:r w:rsidRPr="005144A3">
        <w:t xml:space="preserve"> Linking psychosocial and geospatial data is feasible</w:t>
      </w:r>
      <w:r w:rsidR="005E3FEB">
        <w:t xml:space="preserve"> </w:t>
      </w:r>
      <w:r w:rsidRPr="005144A3">
        <w:t xml:space="preserve">and may reveal neighborhood conditions associated with perceived social support among </w:t>
      </w:r>
      <w:r>
        <w:t xml:space="preserve">AYA </w:t>
      </w:r>
      <w:r w:rsidR="0084343C">
        <w:t>survivors of childhood</w:t>
      </w:r>
      <w:r w:rsidR="005E3FEB">
        <w:t xml:space="preserve"> cancer</w:t>
      </w:r>
      <w:r w:rsidRPr="005144A3">
        <w:t xml:space="preserve">. </w:t>
      </w:r>
      <w:r>
        <w:t>T</w:t>
      </w:r>
      <w:r w:rsidRPr="005144A3">
        <w:t>his workflow provides a foundation for identifying geographically concentrated inequities and communities that may benefit from additional psychosocial resources. Future analyses should apply multivariable and spatial models to account for demographic, clinical, and geographic clustering.</w:t>
      </w:r>
      <w:r w:rsidR="00B82AC1">
        <w:t xml:space="preserve"> </w:t>
      </w:r>
    </w:p>
    <w:p w14:paraId="3244502E" w14:textId="77777777" w:rsidR="005144A3" w:rsidRPr="005144A3" w:rsidRDefault="005144A3"/>
    <w:sectPr w:rsidR="005144A3" w:rsidRPr="005144A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7080" w14:textId="77777777" w:rsidR="00B90AE1" w:rsidRDefault="00B90AE1" w:rsidP="00DE4300">
      <w:pPr>
        <w:spacing w:after="0" w:line="240" w:lineRule="auto"/>
      </w:pPr>
      <w:r>
        <w:separator/>
      </w:r>
    </w:p>
  </w:endnote>
  <w:endnote w:type="continuationSeparator" w:id="0">
    <w:p w14:paraId="78B3289E" w14:textId="77777777" w:rsidR="00B90AE1" w:rsidRDefault="00B90AE1" w:rsidP="00DE4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6794" w14:textId="52CC7E47" w:rsidR="00DE4300" w:rsidRDefault="00DE4300">
    <w:pPr>
      <w:pStyle w:val="Footer"/>
    </w:pPr>
    <w:r>
      <w:rPr>
        <w:noProof/>
      </w:rPr>
      <mc:AlternateContent>
        <mc:Choice Requires="wps">
          <w:drawing>
            <wp:anchor distT="0" distB="0" distL="0" distR="0" simplePos="0" relativeHeight="251659264" behindDoc="0" locked="0" layoutInCell="1" allowOverlap="1" wp14:anchorId="0A155D56" wp14:editId="2A8B0F77">
              <wp:simplePos x="635" y="635"/>
              <wp:positionH relativeFrom="page">
                <wp:align>left</wp:align>
              </wp:positionH>
              <wp:positionV relativeFrom="page">
                <wp:align>bottom</wp:align>
              </wp:positionV>
              <wp:extent cx="1450975" cy="370205"/>
              <wp:effectExtent l="0" t="0" r="15875" b="0"/>
              <wp:wrapNone/>
              <wp:docPr id="1076100013"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67339350" w14:textId="40A74385"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155D56" id="_x0000_t202" coordsize="21600,21600" o:spt="202" path="m,l,21600r21600,l21600,xe">
              <v:stroke joinstyle="miter"/>
              <v:path gradientshapeok="t" o:connecttype="rect"/>
            </v:shapetype>
            <v:shape id="Text Box 2" o:spid="_x0000_s1026" type="#_x0000_t202" alt="St. Jude - Confidential" style="position:absolute;margin-left:0;margin-top:0;width:114.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" filled="f" stroked="f">
              <v:fill o:detectmouseclick="t"/>
              <v:textbox style="mso-fit-shape-to-text:t" inset="20pt,0,0,15pt">
                <w:txbxContent>
                  <w:p w14:paraId="67339350" w14:textId="40A74385"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9C6F" w14:textId="4343374D" w:rsidR="00DE4300" w:rsidRDefault="00DE4300">
    <w:pPr>
      <w:pStyle w:val="Footer"/>
    </w:pPr>
    <w:r>
      <w:rPr>
        <w:noProof/>
      </w:rPr>
      <mc:AlternateContent>
        <mc:Choice Requires="wps">
          <w:drawing>
            <wp:anchor distT="0" distB="0" distL="0" distR="0" simplePos="0" relativeHeight="251660288" behindDoc="0" locked="0" layoutInCell="1" allowOverlap="1" wp14:anchorId="04AD5839" wp14:editId="5A9805C2">
              <wp:simplePos x="914400" y="9417050"/>
              <wp:positionH relativeFrom="page">
                <wp:align>left</wp:align>
              </wp:positionH>
              <wp:positionV relativeFrom="page">
                <wp:align>bottom</wp:align>
              </wp:positionV>
              <wp:extent cx="1450975" cy="370205"/>
              <wp:effectExtent l="0" t="0" r="15875" b="0"/>
              <wp:wrapNone/>
              <wp:docPr id="1157590797"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22D703D2" w14:textId="2DBA5E0A"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AD5839" id="_x0000_t202" coordsize="21600,21600" o:spt="202" path="m,l,21600r21600,l21600,xe">
              <v:stroke joinstyle="miter"/>
              <v:path gradientshapeok="t" o:connecttype="rect"/>
            </v:shapetype>
            <v:shape id="Text Box 3" o:spid="_x0000_s1027" type="#_x0000_t202" alt="St. Jude - Confidential" style="position:absolute;margin-left:0;margin-top:0;width:114.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" filled="f" stroked="f">
              <v:fill o:detectmouseclick="t"/>
              <v:textbox style="mso-fit-shape-to-text:t" inset="20pt,0,0,15pt">
                <w:txbxContent>
                  <w:p w14:paraId="22D703D2" w14:textId="2DBA5E0A"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DC31" w14:textId="379B9B72" w:rsidR="00DE4300" w:rsidRDefault="00DE4300">
    <w:pPr>
      <w:pStyle w:val="Footer"/>
    </w:pPr>
    <w:r>
      <w:rPr>
        <w:noProof/>
      </w:rPr>
      <mc:AlternateContent>
        <mc:Choice Requires="wps">
          <w:drawing>
            <wp:anchor distT="0" distB="0" distL="0" distR="0" simplePos="0" relativeHeight="251658240" behindDoc="0" locked="0" layoutInCell="1" allowOverlap="1" wp14:anchorId="67A72FDD" wp14:editId="2ADB3DB1">
              <wp:simplePos x="635" y="635"/>
              <wp:positionH relativeFrom="page">
                <wp:align>left</wp:align>
              </wp:positionH>
              <wp:positionV relativeFrom="page">
                <wp:align>bottom</wp:align>
              </wp:positionV>
              <wp:extent cx="1450975" cy="370205"/>
              <wp:effectExtent l="0" t="0" r="15875" b="0"/>
              <wp:wrapNone/>
              <wp:docPr id="1870602750"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676B13F0" w14:textId="11E8C1EC"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A72FDD" id="_x0000_t202" coordsize="21600,21600" o:spt="202" path="m,l,21600r21600,l21600,xe">
              <v:stroke joinstyle="miter"/>
              <v:path gradientshapeok="t" o:connecttype="rect"/>
            </v:shapetype>
            <v:shape id="Text Box 1" o:spid="_x0000_s1028" type="#_x0000_t202" alt="St. Jude - Confidential" style="position:absolute;margin-left:0;margin-top:0;width:11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" filled="f" stroked="f">
              <v:fill o:detectmouseclick="t"/>
              <v:textbox style="mso-fit-shape-to-text:t" inset="20pt,0,0,15pt">
                <w:txbxContent>
                  <w:p w14:paraId="676B13F0" w14:textId="11E8C1EC" w:rsidR="00DE4300" w:rsidRPr="00DE4300" w:rsidRDefault="00DE4300" w:rsidP="00DE4300">
                    <w:pPr>
                      <w:spacing w:after="0"/>
                      <w:rPr>
                        <w:rFonts w:ascii="Aptos" w:eastAsia="Aptos" w:hAnsi="Aptos" w:cs="Aptos"/>
                        <w:noProof/>
                        <w:color w:val="000000"/>
                        <w:sz w:val="20"/>
                        <w:szCs w:val="20"/>
                      </w:rPr>
                    </w:pPr>
                    <w:r w:rsidRPr="00DE4300">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FAD11" w14:textId="77777777" w:rsidR="00B90AE1" w:rsidRDefault="00B90AE1" w:rsidP="00DE4300">
      <w:pPr>
        <w:spacing w:after="0" w:line="240" w:lineRule="auto"/>
      </w:pPr>
      <w:r>
        <w:separator/>
      </w:r>
    </w:p>
  </w:footnote>
  <w:footnote w:type="continuationSeparator" w:id="0">
    <w:p w14:paraId="532BA516" w14:textId="77777777" w:rsidR="00B90AE1" w:rsidRDefault="00B90AE1" w:rsidP="00DE4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923D7"/>
    <w:multiLevelType w:val="hybridMultilevel"/>
    <w:tmpl w:val="90184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98D2792"/>
    <w:multiLevelType w:val="hybridMultilevel"/>
    <w:tmpl w:val="19AA0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1101348">
    <w:abstractNumId w:val="1"/>
  </w:num>
  <w:num w:numId="2" w16cid:durableId="158145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4A3"/>
    <w:rsid w:val="000960C4"/>
    <w:rsid w:val="000B02E5"/>
    <w:rsid w:val="00150749"/>
    <w:rsid w:val="001B0A1E"/>
    <w:rsid w:val="001D480A"/>
    <w:rsid w:val="002C4E5E"/>
    <w:rsid w:val="005144A3"/>
    <w:rsid w:val="005D4973"/>
    <w:rsid w:val="005E3FEB"/>
    <w:rsid w:val="00621F76"/>
    <w:rsid w:val="0084343C"/>
    <w:rsid w:val="008F0F01"/>
    <w:rsid w:val="00975950"/>
    <w:rsid w:val="00AE528F"/>
    <w:rsid w:val="00B062EF"/>
    <w:rsid w:val="00B25135"/>
    <w:rsid w:val="00B82AC1"/>
    <w:rsid w:val="00B90AE1"/>
    <w:rsid w:val="00CE66FA"/>
    <w:rsid w:val="00D24AC3"/>
    <w:rsid w:val="00DE4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9F5B"/>
  <w15:chartTrackingRefBased/>
  <w15:docId w15:val="{08280E0B-80C5-4AD8-977A-71DA0008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4A3"/>
    <w:rPr>
      <w:rFonts w:eastAsiaTheme="majorEastAsia" w:cstheme="majorBidi"/>
      <w:color w:val="272727" w:themeColor="text1" w:themeTint="D8"/>
    </w:rPr>
  </w:style>
  <w:style w:type="paragraph" w:styleId="Title">
    <w:name w:val="Title"/>
    <w:basedOn w:val="Normal"/>
    <w:next w:val="Normal"/>
    <w:link w:val="TitleChar"/>
    <w:uiPriority w:val="10"/>
    <w:qFormat/>
    <w:rsid w:val="00514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4A3"/>
    <w:pPr>
      <w:spacing w:before="160"/>
      <w:jc w:val="center"/>
    </w:pPr>
    <w:rPr>
      <w:i/>
      <w:iCs/>
      <w:color w:val="404040" w:themeColor="text1" w:themeTint="BF"/>
    </w:rPr>
  </w:style>
  <w:style w:type="character" w:customStyle="1" w:styleId="QuoteChar">
    <w:name w:val="Quote Char"/>
    <w:basedOn w:val="DefaultParagraphFont"/>
    <w:link w:val="Quote"/>
    <w:uiPriority w:val="29"/>
    <w:rsid w:val="005144A3"/>
    <w:rPr>
      <w:i/>
      <w:iCs/>
      <w:color w:val="404040" w:themeColor="text1" w:themeTint="BF"/>
    </w:rPr>
  </w:style>
  <w:style w:type="paragraph" w:styleId="ListParagraph">
    <w:name w:val="List Paragraph"/>
    <w:basedOn w:val="Normal"/>
    <w:uiPriority w:val="34"/>
    <w:qFormat/>
    <w:rsid w:val="005144A3"/>
    <w:pPr>
      <w:ind w:left="720"/>
      <w:contextualSpacing/>
    </w:pPr>
  </w:style>
  <w:style w:type="character" w:styleId="IntenseEmphasis">
    <w:name w:val="Intense Emphasis"/>
    <w:basedOn w:val="DefaultParagraphFont"/>
    <w:uiPriority w:val="21"/>
    <w:qFormat/>
    <w:rsid w:val="005144A3"/>
    <w:rPr>
      <w:i/>
      <w:iCs/>
      <w:color w:val="0F4761" w:themeColor="accent1" w:themeShade="BF"/>
    </w:rPr>
  </w:style>
  <w:style w:type="paragraph" w:styleId="IntenseQuote">
    <w:name w:val="Intense Quote"/>
    <w:basedOn w:val="Normal"/>
    <w:next w:val="Normal"/>
    <w:link w:val="IntenseQuoteChar"/>
    <w:uiPriority w:val="30"/>
    <w:qFormat/>
    <w:rsid w:val="00514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4A3"/>
    <w:rPr>
      <w:i/>
      <w:iCs/>
      <w:color w:val="0F4761" w:themeColor="accent1" w:themeShade="BF"/>
    </w:rPr>
  </w:style>
  <w:style w:type="character" w:styleId="IntenseReference">
    <w:name w:val="Intense Reference"/>
    <w:basedOn w:val="DefaultParagraphFont"/>
    <w:uiPriority w:val="32"/>
    <w:qFormat/>
    <w:rsid w:val="005144A3"/>
    <w:rPr>
      <w:b/>
      <w:bCs/>
      <w:smallCaps/>
      <w:color w:val="0F4761" w:themeColor="accent1" w:themeShade="BF"/>
      <w:spacing w:val="5"/>
    </w:rPr>
  </w:style>
  <w:style w:type="paragraph" w:styleId="Footer">
    <w:name w:val="footer"/>
    <w:basedOn w:val="Normal"/>
    <w:link w:val="FooterChar"/>
    <w:uiPriority w:val="99"/>
    <w:unhideWhenUsed/>
    <w:rsid w:val="00DE43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300"/>
  </w:style>
  <w:style w:type="paragraph" w:styleId="Revision">
    <w:name w:val="Revision"/>
    <w:hidden/>
    <w:uiPriority w:val="99"/>
    <w:semiHidden/>
    <w:rsid w:val="001B0A1E"/>
    <w:pPr>
      <w:spacing w:after="0" w:line="240" w:lineRule="auto"/>
    </w:pPr>
  </w:style>
  <w:style w:type="character" w:styleId="CommentReference">
    <w:name w:val="annotation reference"/>
    <w:basedOn w:val="DefaultParagraphFont"/>
    <w:uiPriority w:val="99"/>
    <w:semiHidden/>
    <w:unhideWhenUsed/>
    <w:rsid w:val="001B0A1E"/>
    <w:rPr>
      <w:sz w:val="16"/>
      <w:szCs w:val="16"/>
    </w:rPr>
  </w:style>
  <w:style w:type="paragraph" w:styleId="CommentText">
    <w:name w:val="annotation text"/>
    <w:basedOn w:val="Normal"/>
    <w:link w:val="CommentTextChar"/>
    <w:uiPriority w:val="99"/>
    <w:unhideWhenUsed/>
    <w:rsid w:val="001B0A1E"/>
    <w:pPr>
      <w:spacing w:line="240" w:lineRule="auto"/>
    </w:pPr>
    <w:rPr>
      <w:sz w:val="20"/>
      <w:szCs w:val="20"/>
    </w:rPr>
  </w:style>
  <w:style w:type="character" w:customStyle="1" w:styleId="CommentTextChar">
    <w:name w:val="Comment Text Char"/>
    <w:basedOn w:val="DefaultParagraphFont"/>
    <w:link w:val="CommentText"/>
    <w:uiPriority w:val="99"/>
    <w:rsid w:val="001B0A1E"/>
    <w:rPr>
      <w:sz w:val="20"/>
      <w:szCs w:val="20"/>
    </w:rPr>
  </w:style>
  <w:style w:type="paragraph" w:styleId="CommentSubject">
    <w:name w:val="annotation subject"/>
    <w:basedOn w:val="CommentText"/>
    <w:next w:val="CommentText"/>
    <w:link w:val="CommentSubjectChar"/>
    <w:uiPriority w:val="99"/>
    <w:semiHidden/>
    <w:unhideWhenUsed/>
    <w:rsid w:val="001B0A1E"/>
    <w:rPr>
      <w:b/>
      <w:bCs/>
    </w:rPr>
  </w:style>
  <w:style w:type="character" w:customStyle="1" w:styleId="CommentSubjectChar">
    <w:name w:val="Comment Subject Char"/>
    <w:basedOn w:val="CommentTextChar"/>
    <w:link w:val="CommentSubject"/>
    <w:uiPriority w:val="99"/>
    <w:semiHidden/>
    <w:rsid w:val="001B0A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ce1208-e929-4ec4-be64-9138d78922c0}" enabled="1" method="Standard" siteId="{22340fa8-9226-4871-b677-d3b3e377af72}"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Pimenta, Kelly</dc:creator>
  <cp:keywords/>
  <dc:description/>
  <cp:lastModifiedBy>Pimenta, Kelly</cp:lastModifiedBy>
  <cp:revision>6</cp:revision>
  <dcterms:created xsi:type="dcterms:W3CDTF">2026-09-18T19:18:00Z</dcterms:created>
  <dcterms:modified xsi:type="dcterms:W3CDTF">2026-09-18T19:27:00Z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6f7f21fe,4023fbad,44ff6f0d</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