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1F4" w14:textId="77777777" w:rsidR="00EA579F" w:rsidRPr="00EA579F" w:rsidRDefault="00EA579F" w:rsidP="00EA579F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Toc150976500"/>
      <w:bookmarkStart w:id="1" w:name="_Toc147870711"/>
      <w:bookmarkStart w:id="2" w:name="_Hlk119653578"/>
      <w:r w:rsidRPr="00EA579F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24814BDD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F481842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5BD74D94" w14:textId="77777777" w:rsidR="00EA579F" w:rsidRPr="00EA579F" w:rsidRDefault="00EA579F" w:rsidP="00EA579F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579F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6DC80A0B" w14:textId="77777777" w:rsidR="00EA579F" w:rsidRPr="00EA579F" w:rsidRDefault="00EA579F" w:rsidP="00EA579F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2E363BB0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EA579F" w:rsidRPr="00EA579F" w14:paraId="1EDED02E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3CB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EA579F" w:rsidRPr="00EA579F" w14:paraId="46AB0674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E52AE2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</w:tr>
      <w:tr w:rsidR="00EA579F" w:rsidRPr="00EA579F" w14:paraId="2C57CBD7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6EA0" w14:textId="77777777" w:rsidR="00EA579F" w:rsidRPr="00EA579F" w:rsidRDefault="00EA579F" w:rsidP="00EA579F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EA579F" w:rsidRPr="00EA579F" w14:paraId="3E06D213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33B72B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26B5FA7F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579A94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D1DB55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D8353B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7EDAE4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A06173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C76618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A4A772" w14:textId="77777777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B89CA7" w14:textId="52ECD26A" w:rsidR="00EA579F" w:rsidRPr="00EA579F" w:rsidRDefault="00EA579F" w:rsidP="00EA579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579F">
        <w:rPr>
          <w:rFonts w:ascii="Times New Roman" w:hAnsi="Times New Roman"/>
          <w:b/>
          <w:bCs/>
          <w:sz w:val="32"/>
          <w:szCs w:val="24"/>
        </w:rPr>
        <w:t>ОТЧЕТ ПО ЛАБОРАТОРНОЙ РАБОТЕ №2</w:t>
      </w:r>
    </w:p>
    <w:p w14:paraId="3F5E7D26" w14:textId="77777777" w:rsidR="00EA579F" w:rsidRPr="00EA579F" w:rsidRDefault="00EA579F" w:rsidP="00EA579F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26F3E369" w14:textId="258F9DCA" w:rsidR="00EA579F" w:rsidRPr="00EA579F" w:rsidRDefault="00EA579F" w:rsidP="00EA579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579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579F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57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680D5B" w14:textId="77777777" w:rsidR="00EA579F" w:rsidRPr="00EA579F" w:rsidRDefault="00EA579F" w:rsidP="00EA579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2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EA579F" w:rsidRPr="00EA579F" w14:paraId="1980DC44" w14:textId="77777777" w:rsidTr="00EA579F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33D55093" w14:textId="3339A01B" w:rsidR="00EA579F" w:rsidRPr="00EA579F" w:rsidRDefault="00EA579F" w:rsidP="00EA579F">
            <w:pPr>
              <w:spacing w:before="32"/>
              <w:ind w:right="-1" w:firstLine="0"/>
              <w:jc w:val="center"/>
              <w:rPr>
                <w:rFonts w:eastAsia="Times New Roman" w:cs="Times New Roman"/>
                <w:szCs w:val="28"/>
              </w:rPr>
            </w:pPr>
            <w:r w:rsidRPr="00EA579F">
              <w:rPr>
                <w:rFonts w:cs="Times New Roman"/>
                <w:szCs w:val="28"/>
                <w:lang w:eastAsia="ru-RU"/>
              </w:rPr>
              <w:t>Модель IDEF0 бизнес-процессов объекта автоматизации</w:t>
            </w:r>
          </w:p>
        </w:tc>
      </w:tr>
      <w:tr w:rsidR="00EA579F" w:rsidRPr="00EA579F" w14:paraId="246AEB2B" w14:textId="77777777" w:rsidTr="00EA579F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7F8ECD67" w14:textId="77777777" w:rsidR="00EA579F" w:rsidRPr="00EA579F" w:rsidRDefault="00EA579F" w:rsidP="00EA579F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579F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34CCA91D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A8084DE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F760F7E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F3D1C42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671CE65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707B7EE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0E280AFE" w14:textId="77777777" w:rsidR="00EA579F" w:rsidRPr="00EA579F" w:rsidRDefault="00EA579F" w:rsidP="00EA579F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13A6A79" w14:textId="77777777" w:rsidR="00EA579F" w:rsidRPr="00EA579F" w:rsidRDefault="00EA579F" w:rsidP="00EA579F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EA579F" w:rsidRPr="00EA579F" w14:paraId="140E41BB" w14:textId="77777777" w:rsidTr="00EA579F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9136047" w14:textId="77777777" w:rsidR="00EA579F" w:rsidRPr="00EA579F" w:rsidRDefault="00EA579F" w:rsidP="00EA579F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7613FBC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D6F521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986A0B3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CF9EDD" w14:textId="17083929" w:rsidR="00EA579F" w:rsidRPr="00EA579F" w:rsidRDefault="00EA579F" w:rsidP="00EA579F">
            <w:pPr>
              <w:spacing w:after="0" w:line="240" w:lineRule="auto"/>
              <w:ind w:left="-109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EA579F">
              <w:rPr>
                <w:rFonts w:ascii="Times New Roman" w:hAnsi="Times New Roman" w:cs="Times New Roman"/>
                <w:sz w:val="28"/>
                <w:szCs w:val="28"/>
              </w:rPr>
              <w:t>Овсянкин</w:t>
            </w:r>
          </w:p>
        </w:tc>
      </w:tr>
      <w:tr w:rsidR="00EA579F" w:rsidRPr="00EA579F" w14:paraId="3B0CBB44" w14:textId="77777777" w:rsidTr="00EA579F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1FC5451" w14:textId="77777777" w:rsidR="00EA579F" w:rsidRPr="00EA579F" w:rsidRDefault="00EA579F" w:rsidP="00EA5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83B4F70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6635562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подпись,</w:t>
            </w:r>
            <w:r w:rsidRPr="00EA579F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BCF44FA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9960362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инициалы,</w:t>
            </w:r>
            <w:r w:rsidRPr="00EA579F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EA579F" w:rsidRPr="00EA579F" w14:paraId="24F90775" w14:textId="77777777" w:rsidTr="0042436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7278F26C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579F" w:rsidRPr="00EA579F" w14:paraId="08BA5863" w14:textId="77777777" w:rsidTr="00EA579F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09FCE7A" w14:textId="77777777" w:rsidR="00EA579F" w:rsidRPr="00EA579F" w:rsidRDefault="00EA579F" w:rsidP="00EA579F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CFED" w14:textId="77777777" w:rsidR="00EA579F" w:rsidRPr="00EA579F" w:rsidRDefault="00EA579F" w:rsidP="00EA579F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28"/>
              </w:rPr>
              <w:t>БПЦ21-01,</w:t>
            </w:r>
            <w:r w:rsidRPr="00EA579F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579F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8F57404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9648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421BA0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B04E" w14:textId="77777777" w:rsidR="00EA579F" w:rsidRPr="00EA579F" w:rsidRDefault="00EA579F" w:rsidP="00EA579F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 Костюк</w:t>
            </w:r>
          </w:p>
        </w:tc>
      </w:tr>
      <w:tr w:rsidR="00EA579F" w:rsidRPr="00EA579F" w14:paraId="39142084" w14:textId="77777777" w:rsidTr="00EA579F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FDD7C58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EF82685" w14:textId="77777777" w:rsidR="00EA579F" w:rsidRPr="00EA579F" w:rsidRDefault="00EA579F" w:rsidP="00EA57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0EA7B2F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847CC3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BB311A5" w14:textId="77777777" w:rsidR="00EA579F" w:rsidRPr="00EA579F" w:rsidRDefault="00EA579F" w:rsidP="00EA579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B8A164" w14:textId="77777777" w:rsidR="00EA579F" w:rsidRPr="00EA579F" w:rsidRDefault="00EA579F" w:rsidP="00EA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543041B7" w14:textId="77777777" w:rsidR="00EA579F" w:rsidRPr="00EA579F" w:rsidRDefault="00EA579F" w:rsidP="00EA579F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5A55FA8C" w14:textId="77777777" w:rsidR="00EA579F" w:rsidRPr="00EA579F" w:rsidRDefault="00EA579F" w:rsidP="00EA579F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2F79AA5F" w14:textId="77777777" w:rsidR="00EA579F" w:rsidRPr="00EA579F" w:rsidRDefault="00EA579F" w:rsidP="00EA579F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8"/>
          <w:szCs w:val="24"/>
        </w:rPr>
        <w:t>Красноярск</w:t>
      </w:r>
      <w:r w:rsidRPr="00EA579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79F">
        <w:rPr>
          <w:rFonts w:ascii="Times New Roman" w:hAnsi="Times New Roman" w:cs="Times New Roman"/>
          <w:sz w:val="28"/>
          <w:szCs w:val="28"/>
        </w:rPr>
        <w:t>202</w:t>
      </w:r>
      <w:bookmarkEnd w:id="2"/>
      <w:r w:rsidRPr="00EA579F">
        <w:rPr>
          <w:rFonts w:ascii="Times New Roman" w:hAnsi="Times New Roman" w:cs="Times New Roman"/>
          <w:sz w:val="28"/>
          <w:szCs w:val="28"/>
        </w:rPr>
        <w:t>3</w:t>
      </w:r>
    </w:p>
    <w:p w14:paraId="6671DB0F" w14:textId="24D48B11" w:rsidR="00EA579F" w:rsidRPr="00EA579F" w:rsidRDefault="00EA579F" w:rsidP="001B6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5"/>
        </w:rPr>
        <w:br w:type="page"/>
      </w:r>
    </w:p>
    <w:p w14:paraId="7313C0F4" w14:textId="1D288E75" w:rsidR="00AD2F73" w:rsidRDefault="00AD2F73" w:rsidP="00AD2F7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СОДРЕЖАНИЕ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0497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56B6D" w14:textId="3FD17D93" w:rsidR="00AD2F73" w:rsidRDefault="00AD2F73">
          <w:pPr>
            <w:pStyle w:val="ab"/>
          </w:pPr>
        </w:p>
        <w:p w14:paraId="241DA230" w14:textId="34A9304E" w:rsidR="00AD2F73" w:rsidRDefault="00AD2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76500" w:history="1">
            <w:r w:rsidRPr="006A21E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СОДРЕЖАНИЕ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DC70" w14:textId="79DA1DD8" w:rsidR="00AD2F7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76501" w:history="1">
            <w:r w:rsidR="00AD2F73" w:rsidRPr="006A21E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AD2F73">
              <w:rPr>
                <w:noProof/>
                <w:webHidden/>
              </w:rPr>
              <w:tab/>
            </w:r>
            <w:r w:rsidR="00AD2F73">
              <w:rPr>
                <w:noProof/>
                <w:webHidden/>
              </w:rPr>
              <w:fldChar w:fldCharType="begin"/>
            </w:r>
            <w:r w:rsidR="00AD2F73">
              <w:rPr>
                <w:noProof/>
                <w:webHidden/>
              </w:rPr>
              <w:instrText xml:space="preserve"> PAGEREF _Toc150976501 \h </w:instrText>
            </w:r>
            <w:r w:rsidR="00AD2F73">
              <w:rPr>
                <w:noProof/>
                <w:webHidden/>
              </w:rPr>
            </w:r>
            <w:r w:rsidR="00AD2F73">
              <w:rPr>
                <w:noProof/>
                <w:webHidden/>
              </w:rPr>
              <w:fldChar w:fldCharType="separate"/>
            </w:r>
            <w:r w:rsidR="00AD2F73">
              <w:rPr>
                <w:noProof/>
                <w:webHidden/>
              </w:rPr>
              <w:t>2</w:t>
            </w:r>
            <w:r w:rsidR="00AD2F73">
              <w:rPr>
                <w:noProof/>
                <w:webHidden/>
              </w:rPr>
              <w:fldChar w:fldCharType="end"/>
            </w:r>
          </w:hyperlink>
        </w:p>
        <w:p w14:paraId="038C75BB" w14:textId="5B56585A" w:rsidR="00AD2F73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76502" w:history="1">
            <w:r w:rsidR="00AD2F73" w:rsidRPr="006A21E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AD2F73">
              <w:rPr>
                <w:noProof/>
                <w:webHidden/>
              </w:rPr>
              <w:tab/>
            </w:r>
            <w:r w:rsidR="00AD2F73">
              <w:rPr>
                <w:noProof/>
                <w:webHidden/>
              </w:rPr>
              <w:fldChar w:fldCharType="begin"/>
            </w:r>
            <w:r w:rsidR="00AD2F73">
              <w:rPr>
                <w:noProof/>
                <w:webHidden/>
              </w:rPr>
              <w:instrText xml:space="preserve"> PAGEREF _Toc150976502 \h </w:instrText>
            </w:r>
            <w:r w:rsidR="00AD2F73">
              <w:rPr>
                <w:noProof/>
                <w:webHidden/>
              </w:rPr>
            </w:r>
            <w:r w:rsidR="00AD2F73">
              <w:rPr>
                <w:noProof/>
                <w:webHidden/>
              </w:rPr>
              <w:fldChar w:fldCharType="separate"/>
            </w:r>
            <w:r w:rsidR="00AD2F73">
              <w:rPr>
                <w:noProof/>
                <w:webHidden/>
              </w:rPr>
              <w:t>3</w:t>
            </w:r>
            <w:r w:rsidR="00AD2F73">
              <w:rPr>
                <w:noProof/>
                <w:webHidden/>
              </w:rPr>
              <w:fldChar w:fldCharType="end"/>
            </w:r>
          </w:hyperlink>
        </w:p>
        <w:p w14:paraId="3C66FA5B" w14:textId="3E8D2D86" w:rsidR="00AD2F73" w:rsidRDefault="00AD2F73">
          <w:r>
            <w:rPr>
              <w:b/>
              <w:bCs/>
            </w:rPr>
            <w:fldChar w:fldCharType="end"/>
          </w:r>
        </w:p>
      </w:sdtContent>
    </w:sdt>
    <w:p w14:paraId="0E297461" w14:textId="613616C0" w:rsidR="00AD2F73" w:rsidRPr="00AD2F73" w:rsidRDefault="00AD2F73" w:rsidP="00AD2F7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57FE4148" w14:textId="25AC7E75" w:rsidR="00AD2F73" w:rsidRPr="00AD2F73" w:rsidRDefault="00AD2F73" w:rsidP="00AD2F7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97650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1"/>
      <w:bookmarkEnd w:id="3"/>
    </w:p>
    <w:p w14:paraId="7F162712" w14:textId="39B7B742" w:rsidR="00D764A7" w:rsidRDefault="00D764A7" w:rsidP="00D76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рисунке 1 показана диаграмма, на которой представлена взаимодействие системы с внешним миром, а в таблице 1 показаны связи. </w:t>
      </w:r>
    </w:p>
    <w:p w14:paraId="4EE833CF" w14:textId="77777777" w:rsidR="00D764A7" w:rsidRPr="00776CF2" w:rsidRDefault="00D764A7" w:rsidP="00D76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5E6BC" w14:textId="77777777" w:rsidR="00D764A7" w:rsidRPr="00D764A7" w:rsidRDefault="00D764A7" w:rsidP="00D764A7">
      <w:pPr>
        <w:pStyle w:val="a4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64A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2"/>
        <w:gridCol w:w="2913"/>
        <w:gridCol w:w="3067"/>
        <w:gridCol w:w="1676"/>
      </w:tblGrid>
      <w:tr w:rsidR="00D764A7" w:rsidRPr="00A02687" w14:paraId="53287257" w14:textId="77777777" w:rsidTr="00D764A7">
        <w:tc>
          <w:tcPr>
            <w:tcW w:w="1812" w:type="dxa"/>
          </w:tcPr>
          <w:p w14:paraId="01D18441" w14:textId="77777777" w:rsidR="00D764A7" w:rsidRPr="00A02687" w:rsidRDefault="00D764A7" w:rsidP="00200B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913" w:type="dxa"/>
          </w:tcPr>
          <w:p w14:paraId="5DCB6FCD" w14:textId="77777777" w:rsidR="00D764A7" w:rsidRPr="00A02687" w:rsidRDefault="00D764A7" w:rsidP="00200B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3067" w:type="dxa"/>
          </w:tcPr>
          <w:p w14:paraId="608D0289" w14:textId="77777777" w:rsidR="00D764A7" w:rsidRPr="00A02687" w:rsidRDefault="00D764A7" w:rsidP="00200B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1553" w:type="dxa"/>
          </w:tcPr>
          <w:p w14:paraId="1CA7244D" w14:textId="77777777" w:rsidR="00D764A7" w:rsidRPr="00A02687" w:rsidRDefault="00D764A7" w:rsidP="00200B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D764A7" w:rsidRPr="00A02687" w14:paraId="2C06A367" w14:textId="77777777" w:rsidTr="00D764A7">
        <w:tc>
          <w:tcPr>
            <w:tcW w:w="1812" w:type="dxa"/>
          </w:tcPr>
          <w:p w14:paraId="26DDAF3E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о приобретенных активах</w:t>
            </w:r>
          </w:p>
          <w:p w14:paraId="51B761AD" w14:textId="70F29F7F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25D76CAD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Карточка объекта основных средств (ОС)</w:t>
            </w:r>
          </w:p>
          <w:p w14:paraId="032AFD2C" w14:textId="13E72732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7B10DE7D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НПА по учету и амортизации основных средств</w:t>
            </w:r>
          </w:p>
          <w:p w14:paraId="233F33DD" w14:textId="4A417A84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положения и правила организации по учету активов</w:t>
            </w:r>
          </w:p>
        </w:tc>
        <w:tc>
          <w:tcPr>
            <w:tcW w:w="1553" w:type="dxa"/>
          </w:tcPr>
          <w:p w14:paraId="232F8479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по учету ОС</w:t>
            </w:r>
          </w:p>
          <w:p w14:paraId="4AB56593" w14:textId="1D175549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4A7" w:rsidRPr="00A02687" w14:paraId="5A74B9FA" w14:textId="77777777" w:rsidTr="00D764A7">
        <w:tc>
          <w:tcPr>
            <w:tcW w:w="1812" w:type="dxa"/>
          </w:tcPr>
          <w:p w14:paraId="3749B043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о приобретенных активах</w:t>
            </w:r>
          </w:p>
          <w:p w14:paraId="15B76895" w14:textId="78DC522E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20B93633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Отчеты о сроке службы и остаточной стоимости активов</w:t>
            </w:r>
          </w:p>
          <w:p w14:paraId="3833DE84" w14:textId="0C89E23F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6881D3F5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НПА по учету и амортизации основных средств</w:t>
            </w:r>
          </w:p>
          <w:p w14:paraId="38EC453F" w14:textId="4D060972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положения и правила организации по учету активов</w:t>
            </w:r>
          </w:p>
        </w:tc>
        <w:tc>
          <w:tcPr>
            <w:tcW w:w="1553" w:type="dxa"/>
          </w:tcPr>
          <w:p w14:paraId="1654B21B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по финансовому учету и анализу</w:t>
            </w:r>
          </w:p>
          <w:p w14:paraId="5B294CD0" w14:textId="5DE0DB94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4A7" w:rsidRPr="00A02687" w14:paraId="5FE4BEAC" w14:textId="77777777" w:rsidTr="00D764A7">
        <w:tc>
          <w:tcPr>
            <w:tcW w:w="1812" w:type="dxa"/>
          </w:tcPr>
          <w:p w14:paraId="47C683B6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о приобретенных активах</w:t>
            </w:r>
          </w:p>
          <w:p w14:paraId="4B0F93AC" w14:textId="785DF680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0DACF552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закрепленных объектах ОС и изменения в статусе активов</w:t>
            </w:r>
          </w:p>
          <w:p w14:paraId="2FA0FDE2" w14:textId="2EB916D0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1BAB0869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НПА по учету и амортизации основных средств</w:t>
            </w:r>
          </w:p>
          <w:p w14:paraId="4E389D1E" w14:textId="7BA53F0A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положения и правила организации по учету активов</w:t>
            </w:r>
          </w:p>
        </w:tc>
        <w:tc>
          <w:tcPr>
            <w:tcW w:w="1553" w:type="dxa"/>
          </w:tcPr>
          <w:p w14:paraId="2118DB50" w14:textId="77777777" w:rsidR="00D764A7" w:rsidRPr="00D764A7" w:rsidRDefault="00D764A7" w:rsidP="00D764A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 по учету ОС</w:t>
            </w:r>
          </w:p>
          <w:p w14:paraId="6CF075D1" w14:textId="3CA856DB" w:rsidR="00D764A7" w:rsidRPr="00D764A7" w:rsidRDefault="00D764A7" w:rsidP="00D76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A4B43" w14:textId="77777777" w:rsidR="00D764A7" w:rsidRDefault="00D764A7" w:rsidP="00D764A7">
      <w:pPr>
        <w:keepNext/>
        <w:spacing w:after="0" w:line="240" w:lineRule="auto"/>
        <w:jc w:val="both"/>
      </w:pPr>
    </w:p>
    <w:p w14:paraId="694CFEAF" w14:textId="62E44EA7" w:rsidR="00D764A7" w:rsidRDefault="00655271" w:rsidP="00D764A7">
      <w:pPr>
        <w:keepNext/>
        <w:spacing w:after="0" w:line="240" w:lineRule="auto"/>
        <w:jc w:val="both"/>
      </w:pPr>
      <w:r>
        <w:object w:dxaOrig="16761" w:dyaOrig="11403" w14:anchorId="57B92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17.95pt" o:ole="">
            <v:imagedata r:id="rId8" o:title=""/>
          </v:shape>
          <o:OLEObject Type="Embed" ProgID="Visio.Drawing.11" ShapeID="_x0000_i1025" DrawAspect="Content" ObjectID="_1761729426" r:id="rId9"/>
        </w:object>
      </w:r>
    </w:p>
    <w:p w14:paraId="070571A3" w14:textId="07F0776E" w:rsidR="00CC2853" w:rsidRPr="00D764A7" w:rsidRDefault="00D764A7" w:rsidP="00D764A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64A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A-0 нотации IDEF0</w:t>
      </w:r>
    </w:p>
    <w:p w14:paraId="3CBA07B0" w14:textId="3AF71EF9" w:rsidR="00655271" w:rsidRPr="00AD2F73" w:rsidRDefault="00AD2F73" w:rsidP="00AD2F7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870712"/>
      <w:bookmarkStart w:id="5" w:name="_Toc150976502"/>
      <w:r w:rsidRPr="00AD2F7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ВЕРХНИЙ УРОВЕНЬ ДЕКОМПОЗИЦИИ БИЗНЕС-ПРОЦЕССА</w:t>
      </w:r>
      <w:bookmarkEnd w:id="4"/>
      <w:bookmarkEnd w:id="5"/>
    </w:p>
    <w:p w14:paraId="17548DFA" w14:textId="77777777" w:rsidR="00D764A7" w:rsidRDefault="00D764A7" w:rsidP="00D764A7">
      <w:pPr>
        <w:keepNext/>
        <w:spacing w:after="0" w:line="240" w:lineRule="auto"/>
        <w:jc w:val="both"/>
      </w:pPr>
      <w:r>
        <w:object w:dxaOrig="16409" w:dyaOrig="11442" w14:anchorId="761572DF">
          <v:shape id="_x0000_i1026" type="#_x0000_t75" style="width:467.6pt;height:325.2pt" o:ole="">
            <v:imagedata r:id="rId10" o:title=""/>
          </v:shape>
          <o:OLEObject Type="Embed" ProgID="Visio.Drawing.11" ShapeID="_x0000_i1026" DrawAspect="Content" ObjectID="_1761729427" r:id="rId11"/>
        </w:object>
      </w:r>
    </w:p>
    <w:p w14:paraId="0846218A" w14:textId="4028FD95" w:rsidR="00655271" w:rsidRDefault="00D764A7" w:rsidP="00D764A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64A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бизнес-процессов верхнего уровня</w:t>
      </w:r>
    </w:p>
    <w:p w14:paraId="3783F95C" w14:textId="77777777" w:rsidR="00D764A7" w:rsidRDefault="00D764A7" w:rsidP="00D76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показано, как взаимодействуют подсистемы системы друг с другом, а также с внешними системами.</w:t>
      </w:r>
    </w:p>
    <w:p w14:paraId="5D02072D" w14:textId="583410D8" w:rsidR="00D764A7" w:rsidRDefault="00D764A7" w:rsidP="00D764A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 вход поступает «Данные о приобретённых активах» в подсистему «Учёт приобретённых активов». Управление в данной подсистеме — это «</w:t>
      </w:r>
      <w:r w:rsidR="00EA428E">
        <w:rPr>
          <w:rFonts w:ascii="Times New Roman" w:hAnsi="Times New Roman" w:cs="Times New Roman"/>
          <w:sz w:val="28"/>
          <w:szCs w:val="28"/>
        </w:rPr>
        <w:t>НПА по учёту и амортизации основных средств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EA428E">
        <w:rPr>
          <w:rFonts w:ascii="Times New Roman" w:hAnsi="Times New Roman" w:cs="Times New Roman"/>
          <w:sz w:val="28"/>
          <w:szCs w:val="28"/>
        </w:rPr>
        <w:t>Внутренние положения и правила организации по учёту активов</w:t>
      </w:r>
      <w:r>
        <w:rPr>
          <w:rFonts w:ascii="Times New Roman" w:hAnsi="Times New Roman" w:cs="Times New Roman"/>
          <w:sz w:val="28"/>
          <w:szCs w:val="28"/>
        </w:rPr>
        <w:t>», а механизм – «</w:t>
      </w:r>
      <w:r w:rsidR="00EA428E">
        <w:rPr>
          <w:rFonts w:ascii="Times New Roman" w:hAnsi="Times New Roman" w:cs="Times New Roman"/>
          <w:sz w:val="28"/>
          <w:szCs w:val="28"/>
        </w:rPr>
        <w:t>Специалист по учёту ОС</w:t>
      </w:r>
      <w:r>
        <w:rPr>
          <w:rFonts w:ascii="Times New Roman" w:hAnsi="Times New Roman" w:cs="Times New Roman"/>
          <w:sz w:val="28"/>
          <w:szCs w:val="28"/>
        </w:rPr>
        <w:t>». В данной подсистеме собираются</w:t>
      </w:r>
      <w:r w:rsidR="00EA428E">
        <w:rPr>
          <w:rFonts w:ascii="Times New Roman" w:hAnsi="Times New Roman" w:cs="Times New Roman"/>
          <w:sz w:val="28"/>
          <w:szCs w:val="28"/>
        </w:rPr>
        <w:t xml:space="preserve"> приобретённые активы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DA3180" w14:textId="652826E7" w:rsidR="00D764A7" w:rsidRPr="00EA428E" w:rsidRDefault="00D764A7" w:rsidP="00EA428E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EA428E">
        <w:rPr>
          <w:rFonts w:ascii="Times New Roman" w:hAnsi="Times New Roman" w:cs="Times New Roman"/>
          <w:sz w:val="28"/>
          <w:szCs w:val="28"/>
        </w:rPr>
        <w:t xml:space="preserve">активу назначается инвентарный номер и создаётся для него карточка в подсистеме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A428E">
        <w:rPr>
          <w:rFonts w:ascii="Times New Roman" w:hAnsi="Times New Roman" w:cs="Times New Roman"/>
          <w:sz w:val="28"/>
          <w:szCs w:val="28"/>
        </w:rPr>
        <w:t>Назначение инвентарного номера и создание карточки ОС</w:t>
      </w:r>
      <w:r>
        <w:rPr>
          <w:rFonts w:ascii="Times New Roman" w:hAnsi="Times New Roman" w:cs="Times New Roman"/>
          <w:sz w:val="28"/>
          <w:szCs w:val="28"/>
        </w:rPr>
        <w:t xml:space="preserve">». Это нужно для того, чтобы </w:t>
      </w:r>
      <w:r w:rsidR="00EA428E">
        <w:rPr>
          <w:rFonts w:ascii="Times New Roman" w:hAnsi="Times New Roman" w:cs="Times New Roman"/>
          <w:sz w:val="28"/>
          <w:szCs w:val="28"/>
        </w:rPr>
        <w:t>идентифицировать актив и в дальнейшем с ним работать</w:t>
      </w:r>
      <w:r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— это </w:t>
      </w:r>
      <w:r w:rsidR="00EA428E">
        <w:rPr>
          <w:rFonts w:ascii="Times New Roman" w:hAnsi="Times New Roman" w:cs="Times New Roman"/>
          <w:sz w:val="28"/>
          <w:szCs w:val="28"/>
        </w:rPr>
        <w:t>«НПА по учёту и амортизации основных средств» и «Внутренние положения и правила организации по учёту активов</w:t>
      </w:r>
      <w:r>
        <w:rPr>
          <w:rFonts w:ascii="Times New Roman" w:hAnsi="Times New Roman" w:cs="Times New Roman"/>
          <w:sz w:val="28"/>
          <w:szCs w:val="28"/>
        </w:rPr>
        <w:t>», а механизм – «</w:t>
      </w:r>
      <w:r w:rsidR="00EA428E">
        <w:rPr>
          <w:rFonts w:ascii="Times New Roman" w:hAnsi="Times New Roman" w:cs="Times New Roman"/>
          <w:sz w:val="28"/>
          <w:szCs w:val="28"/>
        </w:rPr>
        <w:t>Специалист по учёту ОС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428E">
        <w:rPr>
          <w:rFonts w:ascii="Times New Roman" w:hAnsi="Times New Roman" w:cs="Times New Roman"/>
          <w:sz w:val="28"/>
          <w:szCs w:val="28"/>
        </w:rPr>
        <w:t xml:space="preserve"> Выходом в данной подсистеме является «Карточка объекта основных средств (ОС)»;</w:t>
      </w:r>
    </w:p>
    <w:p w14:paraId="1AA9C169" w14:textId="297D0893" w:rsidR="00D764A7" w:rsidRDefault="00D764A7" w:rsidP="00D764A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</w:t>
      </w:r>
      <w:r w:rsidR="00EA428E">
        <w:rPr>
          <w:rFonts w:ascii="Times New Roman" w:hAnsi="Times New Roman" w:cs="Times New Roman"/>
          <w:sz w:val="28"/>
          <w:szCs w:val="28"/>
        </w:rPr>
        <w:t xml:space="preserve"> активу был назначен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28E">
        <w:rPr>
          <w:rFonts w:ascii="Times New Roman" w:hAnsi="Times New Roman" w:cs="Times New Roman"/>
          <w:sz w:val="28"/>
          <w:szCs w:val="28"/>
        </w:rPr>
        <w:t xml:space="preserve">инвентарный номер и создана для него карточка она передаётся в распоряжение и ведётся её отслеживание в подсистеме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A428E">
        <w:rPr>
          <w:rFonts w:ascii="Times New Roman" w:hAnsi="Times New Roman" w:cs="Times New Roman"/>
          <w:sz w:val="28"/>
          <w:szCs w:val="28"/>
        </w:rPr>
        <w:t>Отслеживание перемещений о передачи ОС</w:t>
      </w:r>
      <w:r>
        <w:rPr>
          <w:rFonts w:ascii="Times New Roman" w:hAnsi="Times New Roman" w:cs="Times New Roman"/>
          <w:sz w:val="28"/>
          <w:szCs w:val="28"/>
        </w:rPr>
        <w:t>». Это необходимо для того, чтобы</w:t>
      </w:r>
      <w:r w:rsidR="00EA428E">
        <w:rPr>
          <w:rFonts w:ascii="Times New Roman" w:hAnsi="Times New Roman" w:cs="Times New Roman"/>
          <w:sz w:val="28"/>
          <w:szCs w:val="28"/>
        </w:rPr>
        <w:t xml:space="preserve"> избежать потери актива в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ABE">
        <w:rPr>
          <w:rFonts w:ascii="Times New Roman" w:hAnsi="Times New Roman" w:cs="Times New Roman"/>
          <w:sz w:val="28"/>
          <w:szCs w:val="28"/>
        </w:rPr>
        <w:t>Управление в данной подсистеме — это «НПА по учёту и амортизации основных средств» и «Внутренние положения и правила организации по учёту активов»</w:t>
      </w:r>
      <w:r>
        <w:rPr>
          <w:rFonts w:ascii="Times New Roman" w:hAnsi="Times New Roman" w:cs="Times New Roman"/>
          <w:sz w:val="28"/>
          <w:szCs w:val="28"/>
        </w:rPr>
        <w:t xml:space="preserve">, а механизм – </w:t>
      </w:r>
      <w:r w:rsidR="00A32ABE">
        <w:rPr>
          <w:rFonts w:ascii="Times New Roman" w:hAnsi="Times New Roman" w:cs="Times New Roman"/>
          <w:sz w:val="28"/>
          <w:szCs w:val="28"/>
        </w:rPr>
        <w:t xml:space="preserve">«Специалист по учёту ОС» </w:t>
      </w:r>
      <w:r>
        <w:rPr>
          <w:rFonts w:ascii="Times New Roman" w:hAnsi="Times New Roman" w:cs="Times New Roman"/>
          <w:sz w:val="28"/>
          <w:szCs w:val="28"/>
        </w:rPr>
        <w:t>Выходом в данной подсистеме является «</w:t>
      </w:r>
      <w:r w:rsidR="00A32ABE">
        <w:rPr>
          <w:rFonts w:ascii="Times New Roman" w:hAnsi="Times New Roman" w:cs="Times New Roman"/>
          <w:sz w:val="28"/>
          <w:szCs w:val="28"/>
        </w:rPr>
        <w:t>Информация о закреплённых объектах ОС и изменения в статусе активов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D6D9EAD" w14:textId="029E7EED" w:rsidR="00D764A7" w:rsidRDefault="00D764A7" w:rsidP="00D764A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A32ABE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7F0F21">
        <w:rPr>
          <w:rFonts w:ascii="Times New Roman" w:hAnsi="Times New Roman" w:cs="Times New Roman"/>
          <w:sz w:val="28"/>
          <w:szCs w:val="28"/>
        </w:rPr>
        <w:t>и</w:t>
      </w:r>
      <w:r w:rsidR="00A32ABE">
        <w:rPr>
          <w:rFonts w:ascii="Times New Roman" w:hAnsi="Times New Roman" w:cs="Times New Roman"/>
          <w:sz w:val="28"/>
          <w:szCs w:val="28"/>
        </w:rPr>
        <w:t>/или перерасчёт актива с учётом амортизации и других факторов</w:t>
      </w:r>
      <w:r>
        <w:rPr>
          <w:rFonts w:ascii="Times New Roman" w:hAnsi="Times New Roman" w:cs="Times New Roman"/>
          <w:sz w:val="28"/>
          <w:szCs w:val="28"/>
        </w:rPr>
        <w:t xml:space="preserve"> в подсистеме «</w:t>
      </w:r>
      <w:r w:rsidR="00A32ABE">
        <w:rPr>
          <w:rFonts w:ascii="Times New Roman" w:hAnsi="Times New Roman" w:cs="Times New Roman"/>
          <w:sz w:val="28"/>
          <w:szCs w:val="28"/>
        </w:rPr>
        <w:t>Расчёт и изменение стоимости ОС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A32ABE">
        <w:rPr>
          <w:rFonts w:ascii="Times New Roman" w:hAnsi="Times New Roman" w:cs="Times New Roman"/>
          <w:sz w:val="28"/>
          <w:szCs w:val="28"/>
        </w:rPr>
        <w:t>Управление в данной подсистеме — это «НПА по учёту и амортизации основных средств» и «Внутренние положения и правила организации по учёту активов»</w:t>
      </w:r>
      <w:r>
        <w:rPr>
          <w:rFonts w:ascii="Times New Roman" w:hAnsi="Times New Roman" w:cs="Times New Roman"/>
          <w:sz w:val="28"/>
          <w:szCs w:val="28"/>
        </w:rPr>
        <w:t>, а механизм – «</w:t>
      </w:r>
      <w:r w:rsidR="00A32ABE">
        <w:rPr>
          <w:rFonts w:ascii="Times New Roman" w:hAnsi="Times New Roman" w:cs="Times New Roman"/>
          <w:sz w:val="28"/>
          <w:szCs w:val="28"/>
        </w:rPr>
        <w:t>Менеджер по финансовому учёту и анализу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52CB19C9" w14:textId="259D781A" w:rsidR="00AD2F73" w:rsidRDefault="00D764A7" w:rsidP="00AD2F7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F73"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A32ABE" w:rsidRPr="00AD2F73">
        <w:rPr>
          <w:rFonts w:ascii="Times New Roman" w:hAnsi="Times New Roman" w:cs="Times New Roman"/>
          <w:sz w:val="28"/>
          <w:szCs w:val="28"/>
        </w:rPr>
        <w:t>по расчётам срок службы актива и его остаточной стоимости</w:t>
      </w:r>
      <w:r w:rsidRPr="00AD2F73">
        <w:rPr>
          <w:rFonts w:ascii="Times New Roman" w:hAnsi="Times New Roman" w:cs="Times New Roman"/>
          <w:sz w:val="28"/>
          <w:szCs w:val="28"/>
        </w:rPr>
        <w:t xml:space="preserve"> в подсистеме «Контроль </w:t>
      </w:r>
      <w:r w:rsidR="00A32ABE" w:rsidRPr="00AD2F73">
        <w:rPr>
          <w:rFonts w:ascii="Times New Roman" w:hAnsi="Times New Roman" w:cs="Times New Roman"/>
          <w:sz w:val="28"/>
          <w:szCs w:val="28"/>
        </w:rPr>
        <w:t xml:space="preserve">срока службы и </w:t>
      </w:r>
      <w:r w:rsidR="00AD2F73" w:rsidRPr="00AD2F73">
        <w:rPr>
          <w:rFonts w:ascii="Times New Roman" w:hAnsi="Times New Roman" w:cs="Times New Roman"/>
          <w:sz w:val="28"/>
          <w:szCs w:val="28"/>
        </w:rPr>
        <w:t>остаточной</w:t>
      </w:r>
      <w:r w:rsidR="00A32ABE" w:rsidRPr="00AD2F73">
        <w:rPr>
          <w:rFonts w:ascii="Times New Roman" w:hAnsi="Times New Roman" w:cs="Times New Roman"/>
          <w:sz w:val="28"/>
          <w:szCs w:val="28"/>
        </w:rPr>
        <w:t xml:space="preserve"> стоимости актива</w:t>
      </w:r>
      <w:r w:rsidRPr="00AD2F73">
        <w:rPr>
          <w:rFonts w:ascii="Times New Roman" w:hAnsi="Times New Roman" w:cs="Times New Roman"/>
          <w:sz w:val="28"/>
          <w:szCs w:val="28"/>
        </w:rPr>
        <w:t xml:space="preserve">». </w:t>
      </w:r>
      <w:r w:rsidR="00AD2F73">
        <w:rPr>
          <w:rFonts w:ascii="Times New Roman" w:hAnsi="Times New Roman" w:cs="Times New Roman"/>
          <w:sz w:val="28"/>
          <w:szCs w:val="28"/>
        </w:rPr>
        <w:t>Управление в данной подсистеме — это «НПА по учёту и амортизации основных средств» и «Внутренние положения и правила организации по учёту активов», а механизм – «Менеджер по финансовому учёту и анализу» Выходом в данной подсистеме является «Отчёт о сроке службы и остаточной стоимости актива».</w:t>
      </w:r>
    </w:p>
    <w:p w14:paraId="7F9501E9" w14:textId="54A90E62" w:rsidR="00D764A7" w:rsidRPr="00D764A7" w:rsidRDefault="00D764A7" w:rsidP="00AD2F73">
      <w:pPr>
        <w:spacing w:after="0" w:line="240" w:lineRule="auto"/>
        <w:jc w:val="both"/>
      </w:pPr>
    </w:p>
    <w:sectPr w:rsidR="00D764A7" w:rsidRPr="00D764A7" w:rsidSect="00EA579F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D04" w14:textId="77777777" w:rsidR="00B85993" w:rsidRDefault="00B85993" w:rsidP="00AD2F73">
      <w:pPr>
        <w:spacing w:after="0" w:line="240" w:lineRule="auto"/>
      </w:pPr>
      <w:r>
        <w:separator/>
      </w:r>
    </w:p>
  </w:endnote>
  <w:endnote w:type="continuationSeparator" w:id="0">
    <w:p w14:paraId="489119D9" w14:textId="77777777" w:rsidR="00B85993" w:rsidRDefault="00B85993" w:rsidP="00A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542339"/>
      <w:docPartObj>
        <w:docPartGallery w:val="Page Numbers (Bottom of Page)"/>
        <w:docPartUnique/>
      </w:docPartObj>
    </w:sdtPr>
    <w:sdtContent>
      <w:p w14:paraId="2DBF5E5D" w14:textId="3F886AE6" w:rsidR="00AD2F73" w:rsidRDefault="00AD2F7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C00CFE" w14:textId="77777777" w:rsidR="00AD2F73" w:rsidRDefault="00AD2F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AED0" w14:textId="77777777" w:rsidR="00B85993" w:rsidRDefault="00B85993" w:rsidP="00AD2F73">
      <w:pPr>
        <w:spacing w:after="0" w:line="240" w:lineRule="auto"/>
      </w:pPr>
      <w:r>
        <w:separator/>
      </w:r>
    </w:p>
  </w:footnote>
  <w:footnote w:type="continuationSeparator" w:id="0">
    <w:p w14:paraId="5707F891" w14:textId="77777777" w:rsidR="00B85993" w:rsidRDefault="00B85993" w:rsidP="00AD2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526"/>
    <w:multiLevelType w:val="hybridMultilevel"/>
    <w:tmpl w:val="581A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1E9"/>
    <w:multiLevelType w:val="hybridMultilevel"/>
    <w:tmpl w:val="00703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14701462">
    <w:abstractNumId w:val="1"/>
  </w:num>
  <w:num w:numId="2" w16cid:durableId="935288029">
    <w:abstractNumId w:val="0"/>
  </w:num>
  <w:num w:numId="3" w16cid:durableId="50351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D4"/>
    <w:rsid w:val="000001A3"/>
    <w:rsid w:val="00091407"/>
    <w:rsid w:val="001B63C2"/>
    <w:rsid w:val="00257D23"/>
    <w:rsid w:val="002D3B71"/>
    <w:rsid w:val="00445F82"/>
    <w:rsid w:val="00655271"/>
    <w:rsid w:val="006B202D"/>
    <w:rsid w:val="0070555A"/>
    <w:rsid w:val="007D09F3"/>
    <w:rsid w:val="007F0F21"/>
    <w:rsid w:val="009D1FF7"/>
    <w:rsid w:val="00A159D4"/>
    <w:rsid w:val="00A32ABE"/>
    <w:rsid w:val="00AD2F73"/>
    <w:rsid w:val="00B85993"/>
    <w:rsid w:val="00C012E7"/>
    <w:rsid w:val="00CC2853"/>
    <w:rsid w:val="00D764A7"/>
    <w:rsid w:val="00EA428E"/>
    <w:rsid w:val="00E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1B7A"/>
  <w15:chartTrackingRefBased/>
  <w15:docId w15:val="{D9D319EE-888D-4918-BBEA-2AC07843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8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64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764A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A428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A428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A428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A428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A428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D2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D2F7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2F7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AD2F73"/>
    <w:pPr>
      <w:spacing w:after="100"/>
    </w:pPr>
  </w:style>
  <w:style w:type="character" w:styleId="ac">
    <w:name w:val="Hyperlink"/>
    <w:basedOn w:val="a0"/>
    <w:uiPriority w:val="99"/>
    <w:unhideWhenUsed/>
    <w:rsid w:val="00AD2F73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D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D2F73"/>
  </w:style>
  <w:style w:type="paragraph" w:styleId="af">
    <w:name w:val="footer"/>
    <w:basedOn w:val="a"/>
    <w:link w:val="af0"/>
    <w:uiPriority w:val="99"/>
    <w:unhideWhenUsed/>
    <w:rsid w:val="00AD2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D2F73"/>
  </w:style>
  <w:style w:type="table" w:customStyle="1" w:styleId="12">
    <w:name w:val="Сетка таблицы1"/>
    <w:basedOn w:val="a1"/>
    <w:next w:val="a5"/>
    <w:uiPriority w:val="39"/>
    <w:rsid w:val="00EA579F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238F-F1C7-4553-8AA3-4B16E331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5</cp:revision>
  <dcterms:created xsi:type="dcterms:W3CDTF">2023-11-15T12:30:00Z</dcterms:created>
  <dcterms:modified xsi:type="dcterms:W3CDTF">2023-11-17T05:31:00Z</dcterms:modified>
</cp:coreProperties>
</file>