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SMS/COS/35/9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SMS/COS/35/9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321</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2565 5561</w:t>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t>26 April 2021</w:t>
      </w: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t>Jacobs China Limited</w:t>
      </w:r>
    </w:p>
    <w:p w:rsidR="00A91413" w:rsidRDefault="00361812" w:rsidP="00A91413">
      <w:pPr>
        <w:tabs>
          <w:tab w:val="right" w:pos="9072"/>
        </w:tabs>
        <w:spacing w:line="320" w:lineRule="exact"/>
        <w:rPr>
          <w:lang w:eastAsia="zh-TW"/>
        </w:rPr>
      </w:pPr>
      <w:r>
        <w:rPr>
          <w:lang w:eastAsia="zh-TW"/>
        </w:rPr>
        <w:t>6th Floor, 633 King’s Road</w:t>
      </w:r>
    </w:p>
    <w:p w:rsidR="00A91413" w:rsidRDefault="00361812" w:rsidP="00A91413">
      <w:pPr>
        <w:tabs>
          <w:tab w:val="right" w:pos="9072"/>
        </w:tabs>
        <w:spacing w:line="320" w:lineRule="exact"/>
        <w:rPr>
          <w:lang w:eastAsia="zh-TW"/>
        </w:rPr>
      </w:pPr>
      <w:r>
        <w:rPr>
          <w:lang w:eastAsia="zh-TW"/>
        </w:rPr>
        <w:t>North Point</w:t>
      </w:r>
    </w:p>
    <w:p w:rsidR="00A91413" w:rsidRPr="00836ABD" w:rsidRDefault="00361812" w:rsidP="00836ABD">
      <w:pPr>
        <w:tabs>
          <w:tab w:val="right" w:pos="9072"/>
        </w:tabs>
        <w:spacing w:line="320" w:lineRule="exact"/>
        <w:rPr>
          <w:lang w:eastAsia="zh-TW"/>
        </w:rPr>
      </w:pPr>
      <w:r>
        <w:rPr>
          <w:lang w:eastAsia="zh-TW"/>
        </w:rPr>
        <w:t>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Malcolm Lorimer</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34/2016 (GE)</w:t>
      </w:r>
    </w:p>
    <w:p w:rsidR="00A61DC8" w:rsidRPr="009610AE" w:rsidRDefault="007F272B" w:rsidP="001F3833">
      <w:pPr>
        <w:pStyle w:val="5"/>
        <w:spacing w:line="300" w:lineRule="exact"/>
        <w:rPr>
          <w:u w:val="none"/>
          <w:lang w:eastAsia="zh-TW"/>
        </w:rPr>
      </w:pPr>
      <w:r>
        <w:rPr>
          <w:u w:val="none"/>
        </w:rPr>
        <w:t>2017-2020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6F0AFA">
        <w:rPr>
          <w:rFonts w:hint="eastAsia"/>
          <w:b/>
          <w:sz w:val="26"/>
          <w:szCs w:val="26"/>
          <w:lang w:eastAsia="zh-HK"/>
        </w:rPr>
        <w:t>.</w:t>
      </w:r>
      <w:r>
        <w:rPr>
          <w:rFonts w:hint="eastAsia"/>
          <w:b/>
          <w:sz w:val="26"/>
          <w:szCs w:val="26"/>
          <w:lang w:eastAsia="zh-HK"/>
        </w:rPr>
        <w:t xml:space="preserve"> </w:t>
      </w:r>
      <w:r>
        <w:rPr>
          <w:b/>
          <w:sz w:val="26"/>
          <w:szCs w:val="26"/>
          <w:lang w:eastAsia="zh-HK"/>
        </w:rPr>
        <w:t/>
      </w:r>
      <w:r>
        <w:rPr>
          <w:b/>
          <w:sz w:val="26"/>
          <w:szCs w:val="26"/>
          <w:lang w:eastAsia="zh-HK"/>
        </w:rPr>
        <w:t>MMEI1233</w:t>
      </w:r>
      <w:r w:rsidR="00A51D76">
        <w:rPr>
          <w:rFonts w:hint="eastAsia"/>
          <w:b/>
          <w:sz w:val="26"/>
          <w:szCs w:val="26"/>
          <w:lang w:eastAsia="zh-HK"/>
        </w:rPr>
        <w:t xml:space="preserve"> </w:t>
      </w:r>
      <w:r>
        <w:rPr>
          <w:b/>
          <w:sz w:val="26"/>
          <w:szCs w:val="26"/>
          <w:lang w:eastAsia="zh-HK"/>
        </w:rPr>
        <w:t>(Rev. 1)</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a</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Pr>
          <w:lang w:eastAsia="zh-TW"/>
        </w:rPr>
        <w:t/>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Pr>
          <w:sz w:val="22"/>
          <w:lang w:eastAsia="zh-HK"/>
        </w:rPr>
        <w:t>STO/1</w:t>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Pr>
          <w:sz w:val="22"/>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34/2016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6F0AFA">
              <w:rPr>
                <w:rFonts w:hint="eastAsia"/>
                <w:bCs/>
                <w:sz w:val="26"/>
                <w:szCs w:val="26"/>
                <w:lang w:eastAsia="zh-TW"/>
              </w:rPr>
              <w:t>.</w:t>
            </w:r>
            <w:r w:rsidR="001F33CA">
              <w:rPr>
                <w:rFonts w:hint="eastAsia"/>
                <w:bCs/>
                <w:sz w:val="26"/>
                <w:szCs w:val="26"/>
                <w:lang w:eastAsia="zh-TW"/>
              </w:rPr>
              <w:t xml:space="preserve"> </w:t>
            </w:r>
            <w:r>
              <w:rPr>
                <w:bCs/>
                <w:sz w:val="26"/>
                <w:szCs w:val="26"/>
              </w:rPr>
              <w:t>MMEI1233</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1233</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1</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312 - 1234</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