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700" w:after="240"/>
        <w:jc w:val="center"/>
      </w:pPr>
      <w:r>
        <w:rPr>
          <w:rFonts w:ascii="Arial" w:hAnsi="Arial" w:eastAsia="微软雅黑"/>
          <w:b/>
          <w:color w:val="000000"/>
          <w:sz w:val="52"/>
        </w:rPr>
        <w:t>智策 V1.0</w:t>
      </w:r>
    </w:p>
    <w:p>
      <w:pPr>
        <w:widowControl/>
        <w:spacing w:after="480"/>
        <w:jc w:val="center"/>
      </w:pPr>
      <w:r>
        <w:rPr>
          <w:rFonts w:ascii="Arial" w:hAnsi="Arial" w:eastAsia="微软雅黑"/>
          <w:b/>
          <w:color w:val="000000"/>
          <w:sz w:val="38"/>
        </w:rPr>
        <w:t>软件著作权登记申报填写指南</w:t>
      </w:r>
    </w:p>
    <w:p>
      <w:pPr>
        <w:widowControl/>
        <w:spacing w:after="120"/>
        <w:jc w:val="center"/>
      </w:pPr>
      <w:r>
        <w:rPr>
          <w:rFonts w:ascii="Arial" w:hAnsi="Arial" w:eastAsia="微软雅黑"/>
          <w:color w:val="000000"/>
          <w:sz w:val="25"/>
        </w:rPr>
        <w:t>催化剂长期稳定性评估与实验决策系统</w:t>
      </w:r>
    </w:p>
    <w:p>
      <w:pPr>
        <w:widowControl/>
        <w:jc w:val="center"/>
      </w:pPr>
      <w:r>
        <w:rPr>
          <w:rFonts w:ascii="Arial" w:hAnsi="Arial" w:eastAsia="微软雅黑"/>
          <w:b/>
          <w:color w:val="000000"/>
          <w:sz w:val="22"/>
        </w:rPr>
        <w:t>个人独立开发 · 原始取得 · 全部权利</w:t>
      </w:r>
    </w:p>
    <w:p>
      <w:pPr>
        <w:widowControl/>
        <w:spacing w:before="960" w:after="80"/>
      </w:pPr>
      <w:r>
        <w:rPr>
          <w:rFonts w:ascii="Arial" w:hAnsi="Arial" w:eastAsia="微软雅黑"/>
          <w:b/>
          <w:color w:val="000000"/>
          <w:sz w:val="22"/>
        </w:rPr>
        <w:t>使用说明</w:t>
      </w:r>
    </w:p>
    <w:p>
      <w:pPr>
        <w:widowControl/>
        <w:spacing w:after="100" w:line="324" w:lineRule="auto"/>
        <w:jc w:val="both"/>
      </w:pPr>
      <w:r>
        <w:rPr>
          <w:rFonts w:ascii="Arial" w:hAnsi="Arial" w:eastAsia="微软雅黑"/>
          <w:color w:val="000000"/>
          <w:sz w:val="20"/>
        </w:rPr>
        <w:t>本指南按当前已冻结的“智策 V1.0”软件、源程序和说明材料编制。带“可直接填”的字段可按本文复制；带“本人确认”的字段涉及真实开发时间、发表情况或个人身份信息，提交前必须由申请人核实。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242"/>
            <w:shd w:fill="F2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" w:hAnsi="Arial" w:eastAsia="微软雅黑"/>
                <w:b/>
                <w:color w:val="000000"/>
                <w:sz w:val="20"/>
              </w:rPr>
              <w:t>重要</w:t>
            </w:r>
          </w:p>
          <w:p>
            <w:pPr>
              <w:spacing w:line="300" w:lineRule="auto" w:after="0"/>
            </w:pPr>
            <w:r>
              <w:rPr>
                <w:rFonts w:ascii="Arial" w:hAnsi="Arial" w:eastAsia="微软雅黑"/>
                <w:color w:val="000000"/>
                <w:sz w:val="19"/>
              </w:rPr>
              <w:t>本指南是申报操作辅助文件，不属于必须提交的程序/文档鉴别材料。中国版权保护中心页面字段名称或选项如有调整，以提交当日系统实际显示为准。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00" w:after="100"/>
      </w:pPr>
      <w:r>
        <w:rPr>
          <w:rFonts w:ascii="Arial" w:hAnsi="Arial" w:eastAsia="微软雅黑"/>
          <w:b/>
          <w:color w:val="000000"/>
          <w:sz w:val="30"/>
        </w:rPr>
        <w:t>1. 一页速填卡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57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6066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建议填写</w:t>
            </w:r>
          </w:p>
        </w:tc>
        <w:tc>
          <w:tcPr>
            <w:tcW w:type="dxa" w:w="1417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软件全称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催化剂长期稳定性评估与实验决策系统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可直接填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软件简称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智策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可直接填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版本号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可直接填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著作权人类型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自然人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可直接填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开发方式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独立开发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可直接填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权利取得方式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原始取得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可直接填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权利范围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全部权利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可直接填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软件类型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应用软件（若系统提供该选项）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按页面选项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开发完成日期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建议以 V1.0 实际冻结/完成日填写；当前候选：2026-09-09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本人确认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发表状态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见第 5 节；当前 GitHub 仓库为 public，不能未经核实直接选“未发表”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本人确认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编程语言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C++20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可直接填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源程序量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约 6976 行（本次第一方源码非空行统计）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可直接填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运行平台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Windows 10/11 x64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可直接填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数据库/本地存储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SQLite；项目文件扩展名 .clrproj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可直接填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242"/>
            <w:shd w:fill="F2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" w:hAnsi="Arial" w:eastAsia="微软雅黑"/>
                <w:b/>
                <w:color w:val="000000"/>
                <w:sz w:val="20"/>
              </w:rPr>
              <w:t>一致性要求</w:t>
            </w:r>
          </w:p>
          <w:p>
            <w:pPr>
              <w:spacing w:line="300" w:lineRule="auto" w:after="0"/>
            </w:pPr>
            <w:r>
              <w:rPr>
                <w:rFonts w:ascii="Arial" w:hAnsi="Arial" w:eastAsia="微软雅黑"/>
                <w:color w:val="000000"/>
                <w:sz w:val="19"/>
              </w:rPr>
              <w:t>申请表、源程序鉴别材料、软件操作说明书、界面截图中的软件名称和版本统一使用“催化剂长期稳定性评估与实验决策系统 / 智策 / V1.0”。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200" w:after="100"/>
      </w:pPr>
      <w:r>
        <w:rPr>
          <w:rFonts w:ascii="Arial" w:hAnsi="Arial" w:eastAsia="微软雅黑"/>
          <w:b/>
          <w:color w:val="000000"/>
          <w:sz w:val="30"/>
        </w:rPr>
        <w:t>2. 基础登记信息逐项填写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3118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填写内容</w:t>
            </w:r>
          </w:p>
        </w:tc>
        <w:tc>
          <w:tcPr>
            <w:tcW w:type="dxa" w:w="4422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注意事项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软件全称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催化剂长期稳定性评估与实验决策系统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不要再使用 Catalyst Longevity Research/Benchmark 作为对外登记名称。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软件简称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智策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若页面允许简称，统一填“智策”。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版本号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所有上传材料保持 V1.0。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软件作品说明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原创软件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如页面表述不同，选择与“独立原创/自主开发”最接近的选项。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开发方式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独立开发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用户已确认该软件由本人个人独立完成。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权利取得方式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原始取得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不是受让、继承或许可取得。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权利范围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全部权利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以申请人对本人独立开发软件享有完整著作权为前提。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著作权人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【本人姓名】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必须与身份证明完全一致，不使用网名或 GitHub 用户名。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证件类型/号码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【按本人证件填写】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仅在官方申报页面填写；不要提交到公开 GitHub 仓库。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联系地址/电话/邮箱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【本人真实有效信息】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用于受理、补正和证书联系。</w:t>
            </w:r>
          </w:p>
        </w:tc>
      </w:tr>
    </w:tbl>
    <w:p>
      <w:pPr>
        <w:pStyle w:val="Heading1"/>
        <w:keepNext/>
        <w:widowControl/>
        <w:spacing w:before="200" w:after="100"/>
      </w:pPr>
      <w:r>
        <w:rPr>
          <w:rFonts w:ascii="Arial" w:hAnsi="Arial" w:eastAsia="微软雅黑"/>
          <w:b/>
          <w:color w:val="000000"/>
          <w:sz w:val="30"/>
        </w:rPr>
        <w:t>3. 技术信息填写</w:t>
      </w:r>
    </w:p>
    <w:p>
      <w:pPr>
        <w:widowControl/>
        <w:spacing w:after="100" w:line="324" w:lineRule="auto"/>
        <w:jc w:val="both"/>
      </w:pPr>
      <w:r>
        <w:rPr>
          <w:rFonts w:ascii="Arial" w:hAnsi="Arial" w:eastAsia="微软雅黑"/>
          <w:color w:val="000000"/>
          <w:sz w:val="21"/>
        </w:rPr>
        <w:t>以下内容以当前仓库中已实现并通过 Windows CI 构建的 V1.0 为依据。硬件型号、内存容量等与个人电脑有关的字段，不应虚构；若页面要求具体数值，请按你的实际开发电脑补充。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71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7"/>
              </w:rPr>
              <w:t>项目</w:t>
            </w:r>
          </w:p>
        </w:tc>
        <w:tc>
          <w:tcPr>
            <w:tcW w:type="dxa" w:w="4592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7"/>
              </w:rPr>
              <w:t>建议填写</w:t>
            </w:r>
          </w:p>
        </w:tc>
        <w:tc>
          <w:tcPr>
            <w:tcW w:type="dxa" w:w="2778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开发语言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C++20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可直接填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GUI 框架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Qt 6 Widgets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可直接填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开发/构建工具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CMake；Visual Studio 2022 / MSVC（当前 Windows 自动构建环境）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如你的实际开发工具不同，以实际为准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数据库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SQLite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可直接填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Excel 读取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QXlsx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第三方依赖，不作为自有源码申报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PDF 处理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Qt PDF；QPdfWriter / QTextDocument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可直接作为技术环境描述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运行操作系统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Windows 10/11 x64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可直接填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项目文件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.clrproj（SQLite 本地项目文件）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可直接填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数据输入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CSV、Excel .xlsx、内置演示数据集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可直接填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资料输入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PDF、TXT、Markdown、CSV、TSV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可直接填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报告输出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PDF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可直接填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第一方源程序量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6976 个非空代码行；鉴别材料 60 页，每页 50 行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与当前生成记录一致</w:t>
            </w:r>
          </w:p>
        </w:tc>
      </w:tr>
    </w:tbl>
    <w:p>
      <w:pPr>
        <w:pStyle w:val="Heading1"/>
        <w:keepNext/>
        <w:widowControl/>
        <w:spacing w:before="200" w:after="100"/>
      </w:pPr>
      <w:r>
        <w:rPr>
          <w:rFonts w:ascii="Arial" w:hAnsi="Arial" w:eastAsia="微软雅黑"/>
          <w:b/>
          <w:color w:val="000000"/>
          <w:sz w:val="30"/>
        </w:rPr>
        <w:t>4. 可直接复制的文字说明</w:t>
      </w:r>
    </w:p>
    <w:p>
      <w:pPr>
        <w:widowControl/>
        <w:spacing w:after="100" w:line="324" w:lineRule="auto"/>
        <w:jc w:val="both"/>
      </w:pPr>
      <w:r>
        <w:rPr>
          <w:rFonts w:ascii="Arial" w:hAnsi="Arial" w:eastAsia="微软雅黑"/>
          <w:color w:val="000000"/>
          <w:sz w:val="21"/>
        </w:rPr>
        <w:t>下面提供“短版”和“完整版”。如果申报页面有字数上限，优先使用短版；如允许较长描述，使用完整版。不要把“AI”写成软件唯一或主要功能，V1.0 的核心仍是本地科研数据分析与实验决策辅助。</w:t>
      </w:r>
    </w:p>
    <w:p>
      <w:pPr>
        <w:widowControl/>
        <w:spacing w:before="100" w:after="40"/>
      </w:pPr>
      <w:r>
        <w:rPr>
          <w:rFonts w:ascii="Arial" w:hAnsi="Arial" w:eastAsia="微软雅黑"/>
          <w:b/>
          <w:color w:val="000000"/>
          <w:sz w:val="20"/>
        </w:rPr>
        <w:t>4.1 开发目的（短版）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242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both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面向催化剂长期稳定性实验，提供实验数据整理、质量检查、寿命指标计算、条件一致性校验、同时间性能比较和后续实验建议，降低长期实验数据整理成本，提高比较结果的可复查性和实验安排效率。</w:t>
            </w:r>
          </w:p>
        </w:tc>
      </w:tr>
    </w:tbl>
    <w:p>
      <w:pPr>
        <w:widowControl/>
        <w:spacing w:before="100" w:after="40"/>
      </w:pPr>
      <w:r>
        <w:rPr>
          <w:rFonts w:ascii="Arial" w:hAnsi="Arial" w:eastAsia="微软雅黑"/>
          <w:b/>
          <w:color w:val="000000"/>
          <w:sz w:val="20"/>
        </w:rPr>
        <w:t>4.2 开发目的（完整版）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242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both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本软件面向催化剂长期稳定性研究与实验管理场景，旨在将分散的实验记录、长期性能数据、实验条件和文献资料统一组织到本地桌面系统中。系统通过数据质量检查、寿命阈值计算、实验条件一致性校验、同时间比较和规则化实验建议，帮助研究人员减少人工整理工作，避免在实验条件不一致时进行不当横向排名，并将当前观测结果转化为可追溯的后续实验安排。</w:t>
            </w:r>
          </w:p>
        </w:tc>
      </w:tr>
    </w:tbl>
    <w:p>
      <w:pPr>
        <w:widowControl/>
        <w:spacing w:before="100" w:after="40"/>
      </w:pPr>
      <w:r>
        <w:rPr>
          <w:rFonts w:ascii="Arial" w:hAnsi="Arial" w:eastAsia="微软雅黑"/>
          <w:b/>
          <w:color w:val="000000"/>
          <w:sz w:val="20"/>
        </w:rPr>
        <w:t>4.3 主要功能（推荐版）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242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both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软件支持 CSV 和 Excel 实验数据导入，自动完成重复时间点、异常数值、实验条件缺失和条件变化检查；绘制长期性能曲线并计算保持率、T95、T90、T80 等寿命指标；在跨催化剂比较前核对温度、空速、压力和进料条件，条件不一致时停止直接比较；自动寻找共同观测时间并进行性能对比；根据时间点数量、寿命状态和条件完整度生成下一步实验建议；支持论文和文本资料整理、催化剂与时间点关联、人工确认、受控 AI 资料范围、本地项目保存与恢复以及 PDF 报告导出。</w:t>
            </w:r>
          </w:p>
        </w:tc>
      </w:tr>
    </w:tbl>
    <w:p>
      <w:pPr>
        <w:widowControl/>
        <w:spacing w:before="100" w:after="40"/>
      </w:pPr>
      <w:r>
        <w:rPr>
          <w:rFonts w:ascii="Arial" w:hAnsi="Arial" w:eastAsia="微软雅黑"/>
          <w:b/>
          <w:color w:val="000000"/>
          <w:sz w:val="20"/>
        </w:rPr>
        <w:t>4.4 技术特点（推荐版）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242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both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软件采用 C++20 与 Qt 6 Widgets 构建 Windows 原生桌面界面，使用 SQLite 保存本地 .clrproj 项目。分析逻辑强调观测数据边界：长期曲线仅连接实际观测点；寿命阈值无法精确确定时保留区间或下限表达；跨催化剂比较前执行实验条件一致性检查；资料需经过人工确认后才进入 AI 可用范围。系统支持 CSV/Excel 数据输入、PDF/TXT/Markdown 等资料输入，并可生成 PDF 报告，核心分析无需依赖外部在线服务。</w:t>
            </w:r>
          </w:p>
        </w:tc>
      </w:tr>
    </w:tbl>
    <w:p>
      <w:pPr>
        <w:widowControl/>
        <w:spacing w:before="100" w:after="40"/>
      </w:pPr>
      <w:r>
        <w:rPr>
          <w:rFonts w:ascii="Arial" w:hAnsi="Arial" w:eastAsia="微软雅黑"/>
          <w:b/>
          <w:color w:val="000000"/>
          <w:sz w:val="20"/>
        </w:rPr>
        <w:t>4.5 应用领域/行业（按页面最接近选项选择）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242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both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科学研究和技术服务 / 化学与化工研发 / 催化剂研发与实验数据分析。若系统仅提供大类，优先选择与“科学研究和技术服务业”或“应用软件/科研辅助软件”最接近的类别。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  <w:spacing w:before="200" w:after="100"/>
      </w:pPr>
      <w:r>
        <w:rPr>
          <w:rFonts w:ascii="Arial" w:hAnsi="Arial" w:eastAsia="微软雅黑"/>
          <w:b/>
          <w:color w:val="000000"/>
          <w:sz w:val="30"/>
        </w:rPr>
        <w:t>5. 发表状态：提交前必须确认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242"/>
            <w:shd w:fill="F2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" w:hAnsi="Arial" w:eastAsia="微软雅黑"/>
                <w:b/>
                <w:color w:val="000000"/>
                <w:sz w:val="20"/>
              </w:rPr>
              <w:t>当前已知事实</w:t>
            </w:r>
          </w:p>
          <w:p>
            <w:pPr>
              <w:spacing w:line="300" w:lineRule="auto" w:after="0"/>
            </w:pPr>
            <w:r>
              <w:rPr>
                <w:rFonts w:ascii="Arial" w:hAnsi="Arial" w:eastAsia="微软雅黑"/>
                <w:color w:val="000000"/>
                <w:sz w:val="19"/>
              </w:rPr>
              <w:t>GitHub 仓库目前为 public；GitHub API 显示仓库创建时间为 2026-09-05 17:51:24 UTC（北京时间/新加坡时间为 2026-09-06 01:51:24）。但仓库元数据本身不能证明它从创建时起就一直公开，也不能自动证明当时公开的内容已经构成“智策 V1.0”的首次发表。</w:t>
            </w:r>
          </w:p>
        </w:tc>
      </w:tr>
    </w:tbl>
    <w:p>
      <w:pPr>
        <w:widowControl/>
        <w:spacing w:after="0"/>
      </w:pPr>
    </w:p>
    <w:p>
      <w:pPr>
        <w:widowControl/>
        <w:spacing w:after="100" w:line="324" w:lineRule="auto"/>
        <w:jc w:val="both"/>
      </w:pPr>
      <w:r>
        <w:rPr>
          <w:rFonts w:ascii="Arial" w:hAnsi="Arial" w:eastAsia="微软雅黑"/>
          <w:color w:val="000000"/>
          <w:sz w:val="21"/>
        </w:rPr>
        <w:t>建议按下面的事实判断，不要为了省事随意选择“未发表”：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情形</w:t>
            </w:r>
          </w:p>
        </w:tc>
        <w:tc>
          <w:tcPr>
            <w:tcW w:type="dxa" w:w="3969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事实</w:t>
            </w:r>
          </w:p>
        </w:tc>
        <w:tc>
          <w:tcPr>
            <w:tcW w:type="dxa" w:w="4592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填写建议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如果该仓库自创建起就是公开仓库，而且当时已经向公众提供了该软件的程序/可识别版本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倾向按“已发表”填写；首次发表日期以首次真实向公众提供该软件的日期为准。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如果仓库创建时为私有，后来才改为公开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以实际改为公开并向公众提供软件的日期作为候选首次发表日期。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如果公开仓库当时只有研究资料或早期不完整代码，V1.0 后来才首次公开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应以 V1.0 首次实际公开的日期为候选，不机械使用仓库创建时间。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如果在正式申报前软件从未向公众提供，只在本人设备、私有环境或特定非公众范围使用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可按真实情况选择“未发表”。</w:t>
            </w:r>
          </w:p>
        </w:tc>
      </w:tr>
    </w:tbl>
    <w:p>
      <w:pPr>
        <w:widowControl/>
        <w:spacing w:after="100" w:line="324" w:lineRule="auto"/>
        <w:jc w:val="both"/>
      </w:pPr>
      <w:r>
        <w:rPr>
          <w:rFonts w:ascii="Arial" w:hAnsi="Arial" w:eastAsia="微软雅黑"/>
          <w:color w:val="000000"/>
          <w:sz w:val="19"/>
        </w:rPr>
        <w:t>“发表权”是决定软件是否公之于众的权利。公开 GitHub 仓库可能涉及通过信息网络向公众提供软件，因此这里应按实际公开历史判断。若你不确定仓库何时从 private 变为 public，可以先核对 GitHub 仓库设置历史、通知邮件或最早可公开访问记录，再填写。</w:t>
      </w:r>
    </w:p>
    <w:p>
      <w:pPr>
        <w:pStyle w:val="Heading1"/>
        <w:keepNext/>
        <w:widowControl/>
        <w:spacing w:before="200" w:after="100"/>
      </w:pPr>
      <w:r>
        <w:rPr>
          <w:rFonts w:ascii="Arial" w:hAnsi="Arial" w:eastAsia="微软雅黑"/>
          <w:b/>
          <w:color w:val="000000"/>
          <w:sz w:val="30"/>
        </w:rPr>
        <w:t>6. 鉴别材料与上传清单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814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7"/>
              </w:rPr>
              <w:t>材料</w:t>
            </w:r>
          </w:p>
        </w:tc>
        <w:tc>
          <w:tcPr>
            <w:tcW w:type="dxa" w:w="2891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7"/>
              </w:rPr>
              <w:t>文件/内容</w:t>
            </w:r>
          </w:p>
        </w:tc>
        <w:tc>
          <w:tcPr>
            <w:tcW w:type="dxa" w:w="1247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7"/>
              </w:rPr>
              <w:t>状态</w:t>
            </w:r>
          </w:p>
        </w:tc>
        <w:tc>
          <w:tcPr>
            <w:tcW w:type="dxa" w:w="3288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源程序鉴别材料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智策_V1.0_源程序鉴别材料.docx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已生成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60 页；每页 50 行；前 30 页 + 后 30 页；第三方源码未纳入。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软件文档鉴别材料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智策_V1.0_软件操作说明书.docx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已生成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含真实 Windows Qt 界面与操作说明。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界面材料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智策_V1.0_软件著作权界面材料.docx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已生成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作为辅助留档/老师审核；是否单独上传以申报页面要求为准。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申请信息核对表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智策_V1.0_软件著作权申请信息核对表.docx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已生成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用于本人填写个人信息和最终核对，不作为法定鉴别材料替代申请表。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身份证明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本人有效身份证明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本人准备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仅提交官方要求渠道，不上传公开仓库。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安装包/EXE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智策 Windows 安装包或便携包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可留存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7"/>
              </w:rPr>
              <w:t>通常不是程序/文档鉴别材料的替代品；仅在受理端明确要求或内部审核时提供。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242"/>
            <w:shd w:fill="F2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" w:hAnsi="Arial" w:eastAsia="微软雅黑"/>
                <w:b/>
                <w:color w:val="000000"/>
                <w:sz w:val="20"/>
              </w:rPr>
              <w:t>现行鉴别材料规则</w:t>
            </w:r>
          </w:p>
          <w:p>
            <w:pPr>
              <w:spacing w:line="300" w:lineRule="auto" w:after="0"/>
            </w:pPr>
            <w:r>
              <w:rPr>
                <w:rFonts w:ascii="Arial" w:hAnsi="Arial" w:eastAsia="微软雅黑"/>
                <w:color w:val="000000"/>
                <w:sz w:val="19"/>
              </w:rPr>
              <w:t>《计算机软件著作权登记办法》要求提交软件著作权登记申请表、软件鉴别材料及相关证明文件；程序和文档鉴别材料通常由前、后各连续 30 页组成，程序每页通常不少于 50 行。当前“智策 V1.0”源程序材料已按 60 页、每页 50 行整理。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200" w:after="100"/>
      </w:pPr>
      <w:r>
        <w:rPr>
          <w:rFonts w:ascii="Arial" w:hAnsi="Arial" w:eastAsia="微软雅黑"/>
          <w:b/>
          <w:color w:val="000000"/>
          <w:sz w:val="30"/>
        </w:rPr>
        <w:t>7. 提交前 12 项最终核对</w:t>
      </w:r>
    </w:p>
    <w:p>
      <w:pPr>
        <w:widowControl/>
        <w:spacing w:after="60"/>
        <w:ind w:left="170" w:hanging="170"/>
      </w:pPr>
      <w:r>
        <w:rPr>
          <w:rFonts w:ascii="Arial" w:hAnsi="Arial" w:eastAsia="微软雅黑"/>
          <w:color w:val="000000"/>
          <w:sz w:val="20"/>
        </w:rPr>
        <w:t>□ 软件全称在申请表、源代码页眉、说明书封面和截图材料中完全一致。</w:t>
      </w:r>
    </w:p>
    <w:p>
      <w:pPr>
        <w:widowControl/>
        <w:spacing w:after="60"/>
        <w:ind w:left="170" w:hanging="170"/>
      </w:pPr>
      <w:r>
        <w:rPr>
          <w:rFonts w:ascii="Arial" w:hAnsi="Arial" w:eastAsia="微软雅黑"/>
          <w:color w:val="000000"/>
          <w:sz w:val="20"/>
        </w:rPr>
        <w:t>□ 软件简称统一为“智策”，版本号统一为“V1.0”。</w:t>
      </w:r>
    </w:p>
    <w:p>
      <w:pPr>
        <w:widowControl/>
        <w:spacing w:after="60"/>
        <w:ind w:left="170" w:hanging="170"/>
      </w:pPr>
      <w:r>
        <w:rPr>
          <w:rFonts w:ascii="Arial" w:hAnsi="Arial" w:eastAsia="微软雅黑"/>
          <w:color w:val="000000"/>
          <w:sz w:val="20"/>
        </w:rPr>
        <w:t>□ 著作权人姓名与身份证明完全一致。</w:t>
      </w:r>
    </w:p>
    <w:p>
      <w:pPr>
        <w:widowControl/>
        <w:spacing w:after="60"/>
        <w:ind w:left="170" w:hanging="170"/>
      </w:pPr>
      <w:r>
        <w:rPr>
          <w:rFonts w:ascii="Arial" w:hAnsi="Arial" w:eastAsia="微软雅黑"/>
          <w:color w:val="000000"/>
          <w:sz w:val="20"/>
        </w:rPr>
        <w:t>□ 开发方式选择“独立开发”，权利取得选择“原始取得”，权利范围选择“全部权利”。</w:t>
      </w:r>
    </w:p>
    <w:p>
      <w:pPr>
        <w:widowControl/>
        <w:spacing w:after="60"/>
        <w:ind w:left="170" w:hanging="170"/>
      </w:pPr>
      <w:r>
        <w:rPr>
          <w:rFonts w:ascii="Arial" w:hAnsi="Arial" w:eastAsia="微软雅黑"/>
          <w:color w:val="000000"/>
          <w:sz w:val="20"/>
        </w:rPr>
        <w:t>□ 开发完成日期由本人按真实 V1.0 完成日确认，不机械照抄建议日期。</w:t>
      </w:r>
    </w:p>
    <w:p>
      <w:pPr>
        <w:widowControl/>
        <w:spacing w:after="60"/>
        <w:ind w:left="170" w:hanging="170"/>
      </w:pPr>
      <w:r>
        <w:rPr>
          <w:rFonts w:ascii="Arial" w:hAnsi="Arial" w:eastAsia="微软雅黑"/>
          <w:color w:val="000000"/>
          <w:sz w:val="20"/>
        </w:rPr>
        <w:t>□ 发表状态与 GitHub 真实公开历史一致；如填“已发表”，首次发表日期也与证据一致。</w:t>
      </w:r>
    </w:p>
    <w:p>
      <w:pPr>
        <w:widowControl/>
        <w:spacing w:after="60"/>
        <w:ind w:left="170" w:hanging="170"/>
      </w:pPr>
      <w:r>
        <w:rPr>
          <w:rFonts w:ascii="Arial" w:hAnsi="Arial" w:eastAsia="微软雅黑"/>
          <w:color w:val="000000"/>
          <w:sz w:val="20"/>
        </w:rPr>
        <w:t>□ 源程序材料为本人第一方代码，未使用 Qt、QXlsx、SQLite 等第三方源码凑页数。</w:t>
      </w:r>
    </w:p>
    <w:p>
      <w:pPr>
        <w:widowControl/>
        <w:spacing w:after="60"/>
        <w:ind w:left="170" w:hanging="170"/>
      </w:pPr>
      <w:r>
        <w:rPr>
          <w:rFonts w:ascii="Arial" w:hAnsi="Arial" w:eastAsia="微软雅黑"/>
          <w:color w:val="000000"/>
          <w:sz w:val="20"/>
        </w:rPr>
        <w:t>□ 源程序前后页连续、页码连续、每页行数符合当前材料设定。</w:t>
      </w:r>
    </w:p>
    <w:p>
      <w:pPr>
        <w:widowControl/>
        <w:spacing w:after="60"/>
        <w:ind w:left="170" w:hanging="170"/>
      </w:pPr>
      <w:r>
        <w:rPr>
          <w:rFonts w:ascii="Arial" w:hAnsi="Arial" w:eastAsia="微软雅黑"/>
          <w:color w:val="000000"/>
          <w:sz w:val="20"/>
        </w:rPr>
        <w:t>□ 软件操作说明书中的功能均可在 V1.0 实际运行程序中找到。</w:t>
      </w:r>
    </w:p>
    <w:p>
      <w:pPr>
        <w:widowControl/>
        <w:spacing w:after="60"/>
        <w:ind w:left="170" w:hanging="170"/>
      </w:pPr>
      <w:r>
        <w:rPr>
          <w:rFonts w:ascii="Arial" w:hAnsi="Arial" w:eastAsia="微软雅黑"/>
          <w:color w:val="000000"/>
          <w:sz w:val="20"/>
        </w:rPr>
        <w:t>□ 内置模拟数据明确作为演示数据，不写成真实科研实验结论。</w:t>
      </w:r>
    </w:p>
    <w:p>
      <w:pPr>
        <w:widowControl/>
        <w:spacing w:after="60"/>
        <w:ind w:left="170" w:hanging="170"/>
      </w:pPr>
      <w:r>
        <w:rPr>
          <w:rFonts w:ascii="Arial" w:hAnsi="Arial" w:eastAsia="微软雅黑"/>
          <w:color w:val="000000"/>
          <w:sz w:val="20"/>
        </w:rPr>
        <w:t>□ 身份证号、手机号、家庭/联系地址等个人信息未提交到公开 GitHub 仓库。</w:t>
      </w:r>
    </w:p>
    <w:p>
      <w:pPr>
        <w:widowControl/>
        <w:spacing w:after="60"/>
        <w:ind w:left="170" w:hanging="170"/>
      </w:pPr>
      <w:r>
        <w:rPr>
          <w:rFonts w:ascii="Arial" w:hAnsi="Arial" w:eastAsia="微软雅黑"/>
          <w:color w:val="000000"/>
          <w:sz w:val="20"/>
        </w:rPr>
        <w:t>□ 提交前保存一份最终申请表 PDF/截图和全部上传文件的本地备份。</w:t>
      </w:r>
    </w:p>
    <w:p>
      <w:pPr>
        <w:pStyle w:val="Heading1"/>
        <w:keepNext/>
        <w:pageBreakBefore/>
        <w:widowControl/>
        <w:spacing w:before="200" w:after="100"/>
      </w:pPr>
      <w:r>
        <w:rPr>
          <w:rFonts w:ascii="Arial" w:hAnsi="Arial" w:eastAsia="微软雅黑"/>
          <w:b/>
          <w:color w:val="000000"/>
          <w:sz w:val="30"/>
        </w:rPr>
        <w:t>8. 个人信息待填区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5840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9"/>
              </w:rPr>
              <w:t>本人填写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著作权人姓名</w:t>
            </w:r>
          </w:p>
        </w:tc>
        <w:tc>
          <w:tcPr>
            <w:tcW w:type="dxa" w:w="5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证件类型</w:t>
            </w:r>
          </w:p>
        </w:tc>
        <w:tc>
          <w:tcPr>
            <w:tcW w:type="dxa" w:w="5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证件号码</w:t>
            </w:r>
          </w:p>
        </w:tc>
        <w:tc>
          <w:tcPr>
            <w:tcW w:type="dxa" w:w="5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联系电话</w:t>
            </w:r>
          </w:p>
        </w:tc>
        <w:tc>
          <w:tcPr>
            <w:tcW w:type="dxa" w:w="5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电子邮箱</w:t>
            </w:r>
          </w:p>
        </w:tc>
        <w:tc>
          <w:tcPr>
            <w:tcW w:type="dxa" w:w="5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联系地址</w:t>
            </w:r>
          </w:p>
        </w:tc>
        <w:tc>
          <w:tcPr>
            <w:tcW w:type="dxa" w:w="5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邮政编码</w:t>
            </w:r>
          </w:p>
        </w:tc>
        <w:tc>
          <w:tcPr>
            <w:tcW w:type="dxa" w:w="5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V1.0 实际开发完成日期</w:t>
            </w:r>
          </w:p>
        </w:tc>
        <w:tc>
          <w:tcPr>
            <w:tcW w:type="dxa" w:w="5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________年____月____日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发表状态</w:t>
            </w:r>
          </w:p>
        </w:tc>
        <w:tc>
          <w:tcPr>
            <w:tcW w:type="dxa" w:w="5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□ 已发表    □ 未发表    （按真实公开历史确认）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首次发表日期（如适用）</w:t>
            </w:r>
          </w:p>
        </w:tc>
        <w:tc>
          <w:tcPr>
            <w:tcW w:type="dxa" w:w="5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________年____月____日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首次发表地点/国家地区（如适用）</w:t>
            </w:r>
          </w:p>
        </w:tc>
        <w:tc>
          <w:tcPr>
            <w:tcW w:type="dxa" w:w="5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9"/>
              </w:rPr>
              <w:t>________________________________________</w:t>
            </w:r>
          </w:p>
        </w:tc>
      </w:tr>
    </w:tbl>
    <w:p>
      <w:pPr>
        <w:pStyle w:val="Heading1"/>
        <w:keepNext/>
        <w:widowControl/>
        <w:spacing w:before="200" w:after="100"/>
      </w:pPr>
      <w:r>
        <w:rPr>
          <w:rFonts w:ascii="Arial" w:hAnsi="Arial" w:eastAsia="微软雅黑"/>
          <w:b/>
          <w:color w:val="000000"/>
          <w:sz w:val="30"/>
        </w:rPr>
        <w:t>9. 依据与文件位置</w:t>
      </w:r>
    </w:p>
    <w:p>
      <w:pPr>
        <w:widowControl/>
        <w:spacing w:after="100" w:line="324" w:lineRule="auto"/>
        <w:jc w:val="both"/>
      </w:pPr>
      <w:r>
        <w:rPr>
          <w:rFonts w:ascii="Arial" w:hAnsi="Arial" w:eastAsia="微软雅黑"/>
          <w:color w:val="000000"/>
          <w:sz w:val="19"/>
        </w:rPr>
        <w:t>法规依据：国家版权局《计算机软件著作权登记办法》及《计算机软件保护条例》。官方软件登记办理机构为中国版权保护中心；实际在线填报字段和选项以提交当日登记系统为准。</w:t>
      </w:r>
    </w:p>
    <w:p>
      <w:pPr>
        <w:widowControl/>
        <w:spacing w:after="100" w:line="324" w:lineRule="auto"/>
        <w:jc w:val="both"/>
      </w:pPr>
      <w:r>
        <w:rPr>
          <w:rFonts w:ascii="Arial" w:hAnsi="Arial" w:eastAsia="微软雅黑"/>
          <w:color w:val="000000"/>
          <w:sz w:val="19"/>
        </w:rPr>
        <w:t>项目材料目录：docs/software-copyright/final/；软件界面截图目录：docs/software-copyright/screenshots/。</w:t>
      </w:r>
    </w:p>
    <w:p>
      <w:pPr>
        <w:widowControl/>
        <w:spacing w:after="100" w:line="324" w:lineRule="auto"/>
        <w:jc w:val="both"/>
      </w:pPr>
      <w:r>
        <w:rPr>
          <w:rFonts w:ascii="Arial" w:hAnsi="Arial" w:eastAsia="微软雅黑"/>
          <w:color w:val="000000"/>
          <w:sz w:val="18"/>
        </w:rPr>
        <w:t>本指南版本：智策 V1.0 申报辅助版。生成日期：2026-09-10。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color w:val="000000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智策 V1.0 软件著作权登记申报填写指南</dc:title>
  <dc:subject>软件著作权登记申报填写指南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