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spacing w:after="120"/>
        <w:jc w:val="both"/>
      </w:pPr>
      <w:r>
        <w:rPr>
          <w:rFonts w:ascii="Arial" w:hAnsi="Arial"/>
          <w:b w:val="0"/>
          <w:i w:val="0"/>
          <w:sz w:val="20"/>
        </w:rPr>
        <w:t>Junbo Tong¹</w:t>
      </w:r>
    </w:p>
    <w:p>
      <w:pPr>
        <w:spacing w:after="120"/>
        <w:jc w:val="both"/>
      </w:pPr>
      <w:r>
        <w:rPr>
          <w:rFonts w:ascii="Arial" w:hAnsi="Arial"/>
          <w:b w:val="0"/>
          <w:i w:val="0"/>
          <w:sz w:val="20"/>
        </w:rPr>
        <w:t>¹National University of Singapore, Singapore.</w:t>
      </w:r>
    </w:p>
    <w:p>
      <w:pPr>
        <w:spacing w:after="120"/>
        <w:jc w:val="both"/>
      </w:pPr>
      <w:r>
        <w:rPr>
          <w:rFonts w:ascii="Arial" w:hAnsi="Arial"/>
          <w:b w:val="0"/>
          <w:i w:val="0"/>
          <w:sz w:val="20"/>
        </w:rPr>
        <w:t>ORCID: Junbo Tong, https://orcid.org/0009-0006-5158-3471</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at which a quantity of interest (QoI) is scored. Here the downstream operator decides whether, how and how far an electronic density can be compressed. QoI Stability Qualification (QSQ) screens the measurement contract: in 254 densities, five probes separated fresh Bader exceedance risks of 1.6% and 81.3% in qualified and rejected materials. For linear operators, the reciprocal-space symbol prescribes the allocation and predicts its gain before compression (Spearman 0.978 and 0.979 on new crystals and slabs); for the nonlinear exchange-correlation energy, its linearization prescribes nearly the Hartree allocation. For the Hartree potential, the law certified 6.3–9.5-fold more than QoI-preserving QPET and over 20-fold more than Fourier-corrected FFCz. Certified storage would shrink the 8.50 TB Materials Project archive 555-fold, against 35-fold for pointwise codecs, and one stream certifies Hartree and Bader quantities together.</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fields.¹–⁵ In quantum chemistry they compress two-electron integrals and atomic-orbital bases.⁶,⁷ Yet a stored density is rarely the scientific result: the result is a quantity of interest (QoI) computed from it, such as a potential, a field or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methods make a declared QoI faithful to its reference; they do not establish whether the reference analysis can resolve the declared tolerance.</w:t>
      </w:r>
    </w:p>
    <w:p>
      <w:pPr>
        <w:spacing w:after="120"/>
        <w:jc w:val="both"/>
      </w:pPr>
      <w:r>
        <w:rPr>
          <w:rFonts w:ascii="Arial" w:hAnsi="Arial"/>
          <w:b w:val="0"/>
          <w:i w:val="0"/>
          <w:sz w:val="20"/>
        </w:rPr>
        <w:t>Task-based quantization designs a quantizer for the task it serves rather than for the signal.²⁰ Weighted step sizes are classical high-rate allocation,²¹,²² and step maps tuned to a downstream error model are used in image coding²³ and scientific compression.²⁴ For a stored electronic density the task is often a physical operator with an exact reciprocal-space symbol, which could set the allocation, forecast its benefit and define the certificate at once.</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measurement contract, not the field, is the object that compression must satisfy, and the downstream operator has three roles in it (Fig. 1): QSQ qualifies the contract and predicts fresh numerical risk; the reciprocal-space symbol of a linear operator determines an allocation law; and that symbol with the reference spectrum predicts coding gain before compression. We test allocation and prediction on new bulk crystals and surface slabs, then certify one bulk-crystal stream for the Hartree potential and exact-partition Bader charges. Each cohort test ran under populations and acceptance criteria fixed before its outcomes were computed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a Bader contract acts on for one material (KCN, mp-676693; ZFP at nominal relative tolerance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reference valence density (isosurface 0.60 </w:t>
      </w:r>
      <m:oMath>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its Bader basins coloured by owning atom, the decoded error </w:t>
      </w:r>
      <m:oMath>
        <m:acc>
          <m:accPr>
            <m:chr m:val="̃"/>
          </m:accPr>
          <m:e>
            <m:r>
              <w:rPr>
                <w:rFonts w:ascii="Cambria Math" w:hAnsi="Cambria Math" w:cs="Cambria Math" w:eastAsia="Cambria Math"/>
                <w:sz w:val="17"/>
                <w:szCs w:val="17"/>
              </w:rPr>
              <m:t xml:space="preserve">ρ</m:t>
            </m:r>
          </m:e>
        </m:acc>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ρ</m:t>
        </m:r>
      </m:oMath>
      <w:r>
        <w:rPr>
          <w:rFonts w:ascii="Arial" w:hAnsi="Arial"/>
          <w:b w:val="0"/>
          <w:i w:val="0"/>
          <w:sz w:val="16"/>
        </w:rPr>
        <w:t xml:space="preserve"> (isosurfaces </w:t>
      </w:r>
      <m:oMath>
        <m: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2.3</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the voxels whose Bader owner changes when basins are re-derived on </w:t>
      </w:r>
      <m:oMath>
        <m:acc>
          <m:accPr>
            <m:chr m:val="̃"/>
          </m:accPr>
          <m:e>
            <m:r>
              <w:rPr>
                <w:rFonts w:ascii="Cambria Math" w:hAnsi="Cambria Math" w:cs="Cambria Math" w:eastAsia="Cambria Math"/>
                <w:sz w:val="17"/>
                <w:szCs w:val="17"/>
              </w:rPr>
              <m:t xml:space="preserve">ρ</m:t>
            </m:r>
          </m:e>
        </m:acc>
      </m:oMath>
      <w:r>
        <w:rPr>
          <w:rFonts w:ascii="Arial" w:hAnsi="Arial"/>
          <w:b w:val="0"/>
          <w:i w:val="0"/>
          <w:sz w:val="16"/>
        </w:rPr>
        <w:t xml:space="preserve">. </w:t>
      </w:r>
      <w:r>
        <w:rPr>
          <w:rFonts w:ascii="Arial" w:hAnsi="Arial"/>
          <w:b/>
          <w:i w:val="0"/>
          <w:sz w:val="16"/>
        </w:rPr>
        <w:t>b</w:t>
      </w:r>
      <w:r>
        <w:rPr>
          <w:rFonts w:ascii="Arial" w:hAnsi="Arial"/>
          <w:b w:val="0"/>
          <w:i w:val="0"/>
          <w:sz w:val="16"/>
        </w:rPr>
        <w:t xml:space="preserve">, The workflow. A contract declares the quantity of interest </w:t>
      </w:r>
      <m:oMath>
        <m:r>
          <w:rPr>
            <w:rFonts w:ascii="Cambria Math" w:hAnsi="Cambria Math" w:cs="Cambria Math" w:eastAsia="Cambria Math"/>
            <w:sz w:val="17"/>
            <w:szCs w:val="17"/>
          </w:rPr>
          <m:t xml:space="preserve">Q</m:t>
        </m:r>
      </m:oMath>
      <w:r>
        <w:rPr>
          <w:rFonts w:ascii="Arial" w:hAnsi="Arial"/>
          <w:b w:val="0"/>
          <w:i w:val="0"/>
          <w:sz w:val="16"/>
        </w:rPr>
        <w:t xml:space="preserve">, the downstream algorithm, the tolerance </w:t>
      </w:r>
      <m:oMath>
        <m:r>
          <w:rPr>
            <w:rFonts w:ascii="Cambria Math" w:hAnsi="Cambria Math" w:cs="Cambria Math" w:eastAsia="Cambria Math"/>
            <w:sz w:val="17"/>
            <w:szCs w:val="17"/>
          </w:rPr>
          <m:t xml:space="preserve">τ</m:t>
        </m:r>
      </m:oMath>
      <w:r>
        <w:rPr>
          <w:rFonts w:ascii="Arial" w:hAnsi="Arial"/>
          <w:b w:val="0"/>
          <w:i w:val="0"/>
          <w:sz w:val="16"/>
        </w:rPr>
        <w:t xml:space="preserve"> and which inputs are exact or approximate. Qualification applies probes </w:t>
      </w:r>
      <m:oMath>
        <m:sSub>
          <m:e>
            <m: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k</m:t>
            </m:r>
          </m:sub>
        </m:sSub>
      </m:oMath>
      <w:r>
        <w:rPr>
          <w:rFonts w:ascii="Arial" w:hAnsi="Arial"/>
          <w:b w:val="0"/>
          <w:i w:val="0"/>
          <w:sz w:val="16"/>
        </w:rPr>
        <w:t xml:space="preserve"> to the approximate inputs and records the stability floor </w:t>
      </w:r>
      <m:oMath>
        <m:sSub>
          <m:e>
            <m:r>
              <w:rPr>
                <w:rFonts w:ascii="Cambria Math" w:hAnsi="Cambria Math" w:cs="Cambria Math" w:eastAsia="Cambria Math"/>
                <w:sz w:val="17"/>
                <w:szCs w:val="17"/>
              </w:rPr>
              <m:t xml:space="preserve">f</m:t>
            </m:r>
          </m:e>
          <m:sub>
            <m:r>
              <w:rPr>
                <w:rFonts w:ascii="Cambria Math" w:hAnsi="Cambria Math" w:cs="Cambria Math" w:eastAsia="Cambria Math"/>
                <w:sz w:val="17"/>
                <w:szCs w:val="17"/>
              </w:rPr>
              <m:t xml:space="preserve">C</m:t>
            </m:r>
          </m:sub>
        </m:sSub>
        <m:r>
          <m:rPr>
            <m:sty m:val="p"/>
          </m:rPr>
          <w:rPr>
            <w:rFonts w:ascii="Cambria Math" w:hAnsi="Cambria Math" w:cs="Cambria Math" w:eastAsia="Cambria Math"/>
            <w:sz w:val="17"/>
            <w:szCs w:val="17"/>
          </w:rPr>
          <m:t xml:space="preserve">=</m:t>
        </m:r>
        <m:sSub>
          <m:e>
            <m:r>
              <m:rPr>
                <m:sty m:val="p"/>
              </m:rPr>
              <w:rPr>
                <w:rFonts w:ascii="Cambria Math" w:hAnsi="Cambria Math" w:cs="Cambria Math" w:eastAsia="Cambria Math"/>
                <w:sz w:val="17"/>
                <w:szCs w:val="17"/>
              </w:rPr>
              <m:t xml:space="preserve">max</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sSub>
          <m:e>
            <m:r>
              <w:rPr>
                <w:rFonts w:ascii="Cambria Math" w:hAnsi="Cambria Math" w:cs="Cambria Math" w:eastAsia="Cambria Math"/>
                <w:sz w:val="17"/>
                <w:szCs w:val="17"/>
              </w:rPr>
              <m:t xml:space="preserve">Q</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oMath>
      <w:r>
        <w:rPr>
          <w:rFonts w:ascii="Arial" w:hAnsi="Arial"/>
          <w:b w:val="0"/>
          <w:i w:val="0"/>
          <w:sz w:val="16"/>
        </w:rPr>
        <w:t xml:space="preserve">; allocation and prediction read the operator symbol </w:t>
      </w:r>
      <m:oMath>
        <m:r>
          <w:rPr>
            <w:rFonts w:ascii="Cambria Math" w:hAnsi="Cambria Math" w:cs="Cambria Math" w:eastAsia="Cambria Math"/>
            <w:sz w:val="17"/>
            <w:szCs w:val="17"/>
          </w:rPr>
          <m:t xml:space="preserve">a</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oMath>
      <w:r>
        <w:rPr>
          <w:rFonts w:ascii="Arial" w:hAnsi="Arial"/>
          <w:b w:val="0"/>
          <w:i w:val="0"/>
          <w:sz w:val="16"/>
        </w:rPr>
        <w:t>; certification re-runs each analysis on the decoded field. Outcomes: certified, not certified and non-evaluable.</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 xml:space="preserve">A measurement contract declares the QoI, the downstream numerical algorithm, the scientific tolerance </w:t>
      </w:r>
      <m:oMath>
        <m:r>
          <w:rPr>
            <w:rFonts w:ascii="Cambria Math" w:hAnsi="Cambria Math" w:cs="Cambria Math" w:eastAsia="Cambria Math"/>
            <w:sz w:val="20"/>
            <w:szCs w:val="20"/>
          </w:rPr>
          <m:t xml:space="preserve">τ</m:t>
        </m:r>
      </m:oMath>
      <w:r>
        <w:rPr>
          <w:rFonts w:ascii="Arial" w:hAnsi="Arial"/>
          <w:b w:val="0"/>
          <w:i w:val="0"/>
          <w:sz w:val="20"/>
        </w:rPr>
        <w:t xml:space="preserve"> and the role of every input as exact or approximate. QSQ perturbs the approximate inputs five times at their own float32 precision scale, takes the maximum downstream response as the stability floor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oMath>
      <w:r>
        <w:rPr>
          <w:rFonts w:ascii="Arial" w:hAnsi="Arial"/>
          <w:b w:val="0"/>
          <w:i w:val="0"/>
          <w:sz w:val="20"/>
        </w:rPr>
        <w:t xml:space="preserve">, and admits the contract when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&lt;</m:t>
        </m:r>
        <m:r>
          <w:rPr>
            <w:rFonts w:ascii="Cambria Math" w:hAnsi="Cambria Math" w:cs="Cambria Math" w:eastAsia="Cambria Math"/>
            <w:sz w:val="20"/>
            <w:szCs w:val="20"/>
          </w:rPr>
          <m:t xml:space="preserve">τ</m:t>
        </m:r>
      </m:oMath>
      <w:r>
        <w:rPr>
          <w:rFonts w:ascii="Arial" w:hAnsi="Arial"/>
          <w:b w:val="0"/>
          <w:i w:val="0"/>
          <w:sz w:val="20"/>
        </w:rPr>
        <w:t xml:space="preserve">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 xml:space="preserve">We fixed the five-probe screen and challenged it with 59 fresh perturbations for each of 254 development densities (186 Materials Project bulk crystals, 68 NOMAD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QSQ admitted 143/254 materials. Qualified materials exceeded the threshold in 135/8,437 fresh trials (1.60%; material-cluster 95% CI 0.78–2.60%) and rejected materials in 5,326/6,549 (81.3%; 76–86%); almost every rejected material, but few qualified ones, showed any exceedance (Fig. 2a,d). The separation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(Supplementary Note 1).</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five-probe QSQ screen stratifies fresh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Stability floor of each of the 254 development materials against the fraction of its 59 fresh perturbations whose re-derived Bader response reaches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(dashed line); admitted (navy) and rejected (red) materials. </w:t>
      </w:r>
      <w:r>
        <w:rPr>
          <w:rFonts w:ascii="Arial" w:hAnsi="Arial"/>
          <w:b/>
          <w:i w:val="0"/>
          <w:sz w:val="16"/>
        </w:rPr>
        <w:t>b</w:t>
      </w:r>
      <w:r>
        <w:rPr>
          <w:rFonts w:ascii="Arial" w:hAnsi="Arial"/>
          <w:b w:val="0"/>
          <w:i w:val="0"/>
          <w:sz w:val="16"/>
        </w:rPr>
        <w:t xml:space="preserve">, Finite-panel admission bound </w:t>
      </w:r>
      <m:oMath>
        <m:r>
          <w:rPr>
            <w:rFonts w:ascii="Cambria Math" w:hAnsi="Cambria Math" w:cs="Cambria Math" w:eastAsia="Cambria Math"/>
            <w:sz w:val="17"/>
            <w:szCs w:val="17"/>
          </w:rPr>
          <m:t xml:space="preserve">p</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1</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p</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5</m:t>
            </m:r>
          </m:sup>
        </m:sSup>
      </m:oMath>
      <w:r>
        <w:rPr>
          <w:rFonts w:ascii="Arial" w:hAnsi="Arial"/>
          <w:b w:val="0"/>
          <w:i w:val="0"/>
          <w:sz w:val="16"/>
        </w:rPr>
        <w:t xml:space="preserve"> for independent probes, with each material at its fresh exceedance fraction. </w:t>
      </w:r>
      <w:r>
        <w:rPr>
          <w:rFonts w:ascii="Arial" w:hAnsi="Arial"/>
          <w:b/>
          <w:i w:val="0"/>
          <w:sz w:val="16"/>
        </w:rPr>
        <w:t>c</w:t>
      </w:r>
      <w:r>
        <w:rPr>
          <w:rFonts w:ascii="Arial" w:hAnsi="Arial"/>
          <w:b w:val="0"/>
          <w:i w:val="0"/>
          <w:sz w:val="16"/>
        </w:rPr>
        <w:t xml:space="preserve">, No-pass risk of eligible and rejected material–codec pairs after completing equal tight settings for every material (762 decisions per threshold). </w:t>
      </w:r>
      <w:r>
        <w:rPr>
          <w:rFonts w:ascii="Arial" w:hAnsi="Arial"/>
          <w:b/>
          <w:i w:val="0"/>
          <w:sz w:val="16"/>
        </w:rPr>
        <w:t>d</w:t>
      </w:r>
      <w:r>
        <w:rPr>
          <w:rFonts w:ascii="Arial" w:hAnsi="Arial"/>
          <w:b w:val="0"/>
          <w:i w:val="0"/>
          <w:sz w:val="16"/>
        </w:rPr>
        <w:t xml:space="preserve">, Fresh exceedance risk of admitted and rejected materials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Intervals are material-cluster bootstrap 95% CIs.</w:t>
      </w:r>
    </w:p>
    <w:p>
      <w:pPr>
        <w:spacing w:after="120"/>
        <w:jc w:val="both"/>
      </w:pPr>
      <w:r>
        <w:rPr>
          <w:rFonts w:ascii="Arial" w:hAnsi="Arial"/>
          <w:b w:val="0"/>
          <w:i w:val="0"/>
          <w:sz w:val="20"/>
        </w:rPr>
        <w:t xml:space="preserve">Qualification also governs codec comparisons. At equal tight settings, the no-pass fraction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was 3.3% for qualified and 66.4% for rejected material–codec pairs (Fig. 2c). Because probes and fresh perturbations are independent draws from one perturbation law, a finite panel carries a guarantee: the joint probability of admission and a later exceedance is at most </w:t>
      </w:r>
      <m:oMath>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(Methods). The observed joint rate was 0.90% (Fig. 2b).</w:t>
      </w:r>
    </w:p>
    <w:p>
      <w:pPr>
        <w:spacing w:after="120"/>
        <w:jc w:val="both"/>
      </w:pPr>
      <w:r>
        <w:rPr>
          <w:rFonts w:ascii="Arial" w:hAnsi="Arial"/>
          <w:b w:val="0"/>
          <w:i w:val="0"/>
          <w:sz w:val="20"/>
        </w:rPr>
        <w:t xml:space="preserve">Evaluability belongs to the contract, not to the material. With Henkelman Bader 1.05 and an all-electron partition reference (AECCAR0 + AECCAR2), perturbing only the integrated charge field left 50/50 analyzable materials eligible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whereas perturbing the partition reference left 3/50. Holding the partition reference exact therefore makes Bader charges scorable and defines the Bader contract used below.</w:t>
      </w:r>
    </w:p>
    <w:p>
      <w:pPr>
        <w:spacing w:after="120"/>
        <w:jc w:val="both"/>
      </w:pPr>
      <w:r>
        <w:rPr>
          <w:rFonts w:ascii="Arial" w:hAnsi="Arial"/>
          <w:b w:val="0"/>
          <w:i w:val="0"/>
          <w:sz w:val="20"/>
        </w:rPr>
        <w:t>The contract also decides which codec is better. In 185 development materials, an SZ3 and a SPERR reconstruction were matched in density maximum and root-mean-square error within 0.10 dex, without Bader outcomes. With reference basins SPERR gave the smaller Bader error in 185/185 materials; with basins re-derived from the decoded density, as the QSQ contract prescribes, SZ3 did in 109/185. The re-derived error ratio followed the ratio of reassigned voxels (Spearman 0.607), not the matched density errors (Supplementary Note 1 and Supplementary Fig. 1). Matched field distortion therefore fixes neither the outcome nor the codec order of a topology-defined QoI.</w:t>
      </w:r>
    </w:p>
    <w:p>
      <w:pPr>
        <w:spacing w:after="120"/>
        <w:jc w:val="both"/>
      </w:pPr>
      <w:r>
        <w:rPr>
          <w:rFonts w:ascii="Arial" w:hAnsi="Arial"/>
          <w:b w:val="0"/>
          <w:i w:val="0"/>
          <w:sz w:val="20"/>
        </w:rPr>
        <w:t xml:space="preserve">Qualification also sets what an archive gains. We applied QSQ, a certifying ZFP/SZ3/SPERR writer and the Bader certificate to a stratified sample of 300 objects of the public Materials Project charge-density archive (415,289 objects, 8.50 TB as gzipped JSON; Methods). The total density is stored certified where eligible and losslessly otherwise, the magnetization density under a per-atom magnetic-moment contract.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4.34-fold (95% CI 3.61–5.37), although 35.9% of objects are non-evaluable and kept lossless. Lossless binary storage alone gives 0.99-fold; certified compression gives 5.35-fold over it (other tolerances,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 xml:space="preserve">At matched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distortion, codecs still differ in Hartree-potential error. For 457 ZFP/SZ3 pairs matched within material (214 materials), the material-level Hartree-error ratio was 0.0776 under both the historical and a Nyquist-safe Poisson operator. Writing </w:t>
      </w:r>
      <m:oMath>
        <m:r>
          <w:rPr>
            <w:rFonts w:ascii="Cambria Math" w:hAnsi="Cambria Math" w:cs="Cambria Math" w:eastAsia="Cambria Math"/>
            <w:sz w:val="20"/>
            <w:szCs w:val="20"/>
          </w:rPr>
          <m:t xml:space="preserve">E</m:t>
        </m:r>
      </m:oMath>
      <w:r>
        <w:rPr>
          <w:rFonts w:ascii="Arial" w:hAnsi="Arial"/>
          <w:b w:val="0"/>
          <w:i w:val="0"/>
          <w:sz w:val="20"/>
        </w:rPr>
        <w:t xml:space="preserve"> for the error energy over non-zero, Nyquist-safe modes and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oMath>
      <w:r>
        <w:rPr>
          <w:rFonts w:ascii="Arial" w:hAnsi="Arial"/>
          <w:b w:val="0"/>
          <w:i w:val="0"/>
          <w:sz w:val="20"/>
        </w:rPr>
        <w:t xml:space="preserve"> for the Hartree susceptibility,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each pair's ratio factors exactly as</w:t>
      </w:r>
    </w:p>
    <w:p>
      <w:pPr>
        <w:spacing w:before="60" w:after="120"/>
      </w:pPr>
      <m:oMathPara>
        <m:oMathParaPr>
          <m:jc m:val="center"/>
        </m:oMathParaPr>
        <m:oMath>
          <m:sSub>
            <m:e>
              <m:r>
                <w:rPr>
                  <w:rFonts w:ascii="Cambria Math" w:hAnsi="Cambria Math" w:cs="Cambria Math" w:eastAsia="Cambria Math"/>
                  <w:sz w:val="21"/>
                  <w:szCs w:val="21"/>
                </w:rPr>
                <m:t xml:space="preserve">R</m:t>
              </m:r>
            </m:e>
            <m:sub>
              <m:r>
                <w:rPr>
                  <w:rFonts w:ascii="Cambria Math" w:hAnsi="Cambria Math" w:cs="Cambria Math" w:eastAsia="Cambria Math"/>
                  <w:sz w:val="21"/>
                  <w:szCs w:val="21"/>
                </w:rPr>
                <m:t xml:space="preserve">H</m:t>
              </m:r>
            </m:sub>
          </m:sSub>
          <m:r>
            <m:rPr>
              <m:sty m:val="p"/>
            </m:rPr>
            <w:rPr>
              <w:rFonts w:ascii="Cambria Math" w:hAnsi="Cambria Math" w:cs="Cambria Math" w:eastAsia="Cambria Math"/>
              <w:sz w:val="21"/>
              <w:szCs w:val="21"/>
            </w:rPr>
            <m:t xml:space="preserve">=</m:t>
          </m:r>
          <m:rad>
            <m:radPr>
              <m:degHide m:val="1"/>
            </m:radPr>
            <m:deg/>
            <m:e>
              <m:f>
                <m:num>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 </m:t>
          </m:r>
          <m:rad>
            <m:radPr>
              <m:degHide m:val="1"/>
            </m:radPr>
            <m:deg/>
            <m:e>
              <m:f>
                <m:num>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Both factors favour ZFP, the susceptibility factor more strongly (Fig. 3c):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of 457 within-material ZFP/SZ3 pairs matched on realized </w:t>
      </w:r>
      <m:oMath>
        <m:sSub>
          <m:e>
            <m:r>
              <w:rPr>
                <w:rFonts w:ascii="Cambria Math" w:hAnsi="Cambria Math" w:cs="Cambria Math" w:eastAsia="Cambria Math"/>
                <w:sz w:val="17"/>
                <w:szCs w:val="17"/>
              </w:rPr>
              <m:t xml:space="preserve">L</m:t>
            </m:r>
          </m:e>
          <m:sub>
            <m:r>
              <m:rPr>
                <m:sty m:val="p"/>
              </m:rPr>
              <w:rPr>
                <w:rFonts w:ascii="Cambria Math" w:hAnsi="Cambria Math" w:cs="Cambria Math" w:eastAsia="Cambria Math"/>
                <w:sz w:val="17"/>
                <w:szCs w:val="17"/>
              </w:rPr>
              <m:t xml:space="preserve">∞</m:t>
            </m:r>
          </m:sub>
        </m:sSub>
      </m:oMath>
      <w:r>
        <w:rPr>
          <w:rFonts w:ascii="Arial" w:hAnsi="Arial"/>
          <w:b w:val="0"/>
          <w:i w:val="0"/>
          <w:sz w:val="16"/>
        </w:rPr>
        <w:t xml:space="preserve">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The same spectra weighted by </w:t>
      </w:r>
      <m:oMath>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Material-level centres and bootstrap 95% CIs of the spectral-energy factor, the Hartree-susceptibility factor and the Hartree-error ratio. </w:t>
      </w:r>
      <w:r>
        <w:rPr>
          <w:rFonts w:ascii="Arial" w:hAnsi="Arial"/>
          <w:b/>
          <w:i w:val="0"/>
          <w:sz w:val="16"/>
        </w:rPr>
        <w:t>d</w:t>
      </w:r>
      <w:r>
        <w:rPr>
          <w:rFonts w:ascii="Arial" w:hAnsi="Arial"/>
          <w:b w:val="0"/>
          <w:i w:val="0"/>
          <w:sz w:val="16"/>
        </w:rPr>
        <w:t xml:space="preserve">, Share of the absolute log codec effect carried by the susceptibility factor. </w:t>
      </w:r>
      <w:r>
        <w:rPr>
          <w:rFonts w:ascii="Arial" w:hAnsi="Arial"/>
          <w:b/>
          <w:i w:val="0"/>
          <w:sz w:val="16"/>
        </w:rPr>
        <w:t>e</w:t>
      </w:r>
      <w:r>
        <w:rPr>
          <w:rFonts w:ascii="Arial" w:hAnsi="Arial"/>
          <w:b w:val="0"/>
          <w:i w:val="0"/>
          <w:sz w:val="16"/>
        </w:rPr>
        <w:t>, One matched pair (KCN, mp-676693): decoded density error at one isolevel and the Hartree-potential error for ZFP and SZ3.</w:t>
      </w:r>
    </w:p>
    <w:p>
      <w:pPr>
        <w:spacing w:after="120"/>
        <w:jc w:val="both"/>
      </w:pPr>
      <w:r>
        <w:rPr>
          <w:rFonts w:ascii="Arial" w:hAnsi="Arial"/>
          <w:b w:val="0"/>
          <w:i w:val="0"/>
          <w:sz w:val="20"/>
        </w:rPr>
        <w:t xml:space="preserve">The same symbol prescribes the allocation. For a linear operator diagonal in reciprocal space with symbol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the squared operator error of a density error </w:t>
      </w:r>
      <m:oMath>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oMath>
      <w:r>
        <w:rPr>
          <w:rFonts w:ascii="Arial" w:hAnsi="Arial"/>
          <w:b w:val="0"/>
          <w:i w:val="0"/>
          <w:sz w:val="20"/>
        </w:rPr>
        <w:t xml:space="preserve"> is </w:t>
      </w:r>
      <m:oMath>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weight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a</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Under high-rate scalar quantization, minimizing this weighted error at fixed rate gives the classical step-size law²¹,²²</w:t>
      </w:r>
    </w:p>
    <w:p>
      <w:pPr>
        <w:spacing w:before="60" w:after="120"/>
      </w:pPr>
      <m:oMathPara>
        <m:oMathParaPr>
          <m:jc m:val="center"/>
        </m:oMathParaPr>
        <m:oMath>
          <m:sSub>
            <m:e>
              <m:r>
                <m:rPr>
                  <m:sty m:val="p"/>
                </m:rPr>
                <w:rPr>
                  <w:rFonts w:ascii="Cambria Math" w:hAnsi="Cambria Math" w:cs="Cambria Math" w:eastAsia="Cambria Math"/>
                  <w:sz w:val="21"/>
                  <w:szCs w:val="21"/>
                </w:rPr>
                <m:t xml:space="preserve">Δ</m:t>
              </m:r>
            </m:e>
            <m:sub>
              <m:r>
                <w:rPr>
                  <w:rFonts w:ascii="Cambria Math" w:hAnsi="Cambria Math" w:cs="Cambria Math" w:eastAsia="Cambria Math"/>
                  <w:sz w:val="21"/>
                  <w:szCs w:val="21"/>
                </w:rPr>
                <m:t xml:space="preserve">G</m:t>
              </m:r>
            </m:sub>
          </m:sSub>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w</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1</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Hartree potential,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so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The rule is classical; the operator supplies the weight and the certificate. A fixed-ladder version was confirmed on 48 further crystals and a 254-material census (Supplementary Note 2).</w:t>
      </w:r>
    </w:p>
    <w:p>
      <w:pPr>
        <w:spacing w:after="120"/>
        <w:jc w:val="both"/>
      </w:pPr>
      <w:r>
        <w:rPr>
          <w:rFonts w:ascii="Arial" w:hAnsi="Arial"/>
          <w:b w:val="0"/>
          <w:i w:val="0"/>
          <w:sz w:val="20"/>
        </w:rPr>
        <w:t xml:space="preserve">On one density the law's action can be followed shell by shell (KCN, the material of Figs. 1a and 3e; Fig. 4). The step grows as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from the exactly stored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(Fig. 4a). Beyond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0.26</m:t>
        </m:r>
      </m:oMath>
      <w:r>
        <w:rPr>
          <w:rFonts w:ascii="Arial" w:hAnsi="Arial"/>
          <w:b w:val="0"/>
          <w:i w:val="0"/>
          <w:sz w:val="20"/>
        </w:rPr>
        <w:t xml:space="preserve"> the root-mean-square reference coefficient falls below the step and quantizes to zero (Fig. 4c), so 97.5% of the bytes sit in the 10 innermost of 32 shells (Fig. 4e). Within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0.25</m:t>
        </m:r>
      </m:oMath>
      <w:r>
        <w:rPr>
          <w:rFonts w:ascii="Arial" w:hAnsi="Arial"/>
          <w:b w:val="0"/>
          <w:i w:val="0"/>
          <w:sz w:val="20"/>
        </w:rPr>
        <w:t xml:space="preserve"> the Hartree error per mode stayed nearly flat across shells, the law's equal-distortion signature, whereas under uniform steps it spanned five orders of magnitude, dominated by the lowest shell as for pointwise codecs (Fig. 4d). At a decoded Hartree error of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compression ratio of 133, against 115 for truncation at its best cutoff and at most 15.7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sets where the step, the error and the bytes go.</w:t>
      </w:r>
      <w:r>
        <w:rPr>
          <w:rFonts w:ascii="Arial" w:hAnsi="Arial"/>
          <w:b w:val="0"/>
          <w:i w:val="0"/>
          <w:sz w:val="16"/>
        </w:rPr>
        <w:t xml:space="preserve"> One density (KCN, mp-676693) and the Hartree potential; every stream is decoded and recertified. </w:t>
      </w:r>
      <w:r>
        <w:rPr>
          <w:rFonts w:ascii="Arial" w:hAnsi="Arial"/>
          <w:b/>
          <w:i w:val="0"/>
          <w:sz w:val="16"/>
        </w:rPr>
        <w:t>a</w:t>
      </w:r>
      <w:r>
        <w:rPr>
          <w:rFonts w:ascii="Arial" w:hAnsi="Arial"/>
          <w:b w:val="0"/>
          <w:i w:val="0"/>
          <w:sz w:val="16"/>
        </w:rPr>
        <w:t xml:space="preserve">, Quantization step </w:t>
      </w:r>
      <m:oMath>
        <m:sSub>
          <m:e>
            <m:r>
              <m:rPr>
                <m:sty m:val="p"/>
              </m:rP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G</m:t>
            </m:r>
          </m:sub>
        </m:sSub>
      </m:oMath>
      <w:r>
        <w:rPr>
          <w:rFonts w:ascii="Arial" w:hAnsi="Arial"/>
          <w:b w:val="0"/>
          <w:i w:val="0"/>
          <w:sz w:val="16"/>
        </w:rPr>
        <w:t xml:space="preserve"> on the reciprocal plane through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spanned by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1</m:t>
            </m:r>
          </m:sub>
        </m:sSub>
      </m:oMath>
      <w:r>
        <w:rPr>
          <w:rFonts w:ascii="Arial" w:hAnsi="Arial"/>
          <w:b w:val="0"/>
          <w:i w:val="0"/>
          <w:sz w:val="16"/>
        </w:rPr>
        <w:t xml:space="preserve"> and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2</m:t>
            </m:r>
          </m:sub>
        </m:sSub>
      </m:oMath>
      <w:r>
        <w:rPr>
          <w:rFonts w:ascii="Arial" w:hAnsi="Arial"/>
          <w:b w:val="0"/>
          <w:i w:val="0"/>
          <w:sz w:val="16"/>
        </w:rPr>
        <w:t xml:space="preserve"> for the closed-form law, uniform steps and spectral truncation at its best cutoff, each at its certified point for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Root-mean-square reference coefficient and the step of each policy per radial bin, </w:t>
      </w:r>
      <m:oMath>
        <m:r>
          <w:rPr>
            <w:rFonts w:ascii="Cambria Math" w:hAnsi="Cambria Math" w:cs="Cambria Math" w:eastAsia="Cambria Math"/>
            <w:sz w:val="17"/>
            <w:szCs w:val="17"/>
          </w:rPr>
          <m:t xml:space="preserve">q</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sSub>
          <m:e>
            <m:r>
              <w:rPr>
                <w:rFonts w:ascii="Cambria Math" w:hAnsi="Cambria Math" w:cs="Cambria Math" w:eastAsia="Cambria Math"/>
                <w:sz w:val="17"/>
                <w:szCs w:val="17"/>
              </w:rPr>
              <m:t xml:space="preserve">G</m:t>
            </m:r>
          </m:e>
          <m:sub>
            <m:r>
              <m:rPr>
                <m:sty m:val="p"/>
              </m:rPr>
              <w:rPr>
                <w:rFonts w:ascii="Cambria Math" w:hAnsi="Cambria Math" w:cs="Cambria Math" w:eastAsia="Cambria Math"/>
                <w:sz w:val="17"/>
                <w:szCs w:val="17"/>
              </w:rPr>
              <m:t xml:space="preserve">max</m:t>
            </m:r>
          </m:sub>
        </m:sSub>
      </m:oMath>
      <w:r>
        <w:rPr>
          <w:rFonts w:ascii="Arial" w:hAnsi="Arial"/>
          <w:b w:val="0"/>
          <w:i w:val="0"/>
          <w:sz w:val="16"/>
        </w:rPr>
        <w:t xml:space="preserve">,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Hartree error per mode relative to its all-mode mean, per radial bin,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e</w:t>
      </w:r>
      <w:r>
        <w:rPr>
          <w:rFonts w:ascii="Arial" w:hAnsi="Arial"/>
          <w:b w:val="0"/>
          <w:i w:val="0"/>
          <w:sz w:val="16"/>
        </w:rPr>
        <w:t xml:space="preserve">, Compressed bytes per radial shell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w:t>
      </w:r>
    </w:p>
    <w:p>
      <w:pPr>
        <w:keepNext/>
        <w:spacing w:before="200" w:after="80"/>
      </w:pPr>
      <w:r>
        <w:rPr>
          <w:rFonts w:ascii="Arial" w:hAnsi="Arial"/>
          <w:b/>
          <w:i w:val="0"/>
          <w:sz w:val="20"/>
        </w:rPr>
        <w:t>Under equal search, the law certifies more than pointwise, QoI-preserving and Fourier-corrected codecs</w:t>
      </w:r>
    </w:p>
    <w:p>
      <w:pPr>
        <w:spacing w:after="120"/>
        <w:jc w:val="both"/>
      </w:pPr>
      <w:r>
        <w:rPr>
          <w:rFonts w:ascii="Arial" w:hAnsi="Arial"/>
          <w:b w:val="0"/>
          <w:i w:val="0"/>
          <w:sz w:val="20"/>
        </w:rPr>
        <w:t xml:space="preserve">We tested the law prospectively on 60 Materials Project bulk crystals and 32 NOMAD surface slabs new to the project (Methods). Three arms received the same continuous search with decode-verified certificates: the closed-form law (A1), spectral truncation at the best of 32 cutoffs (A2), and the best of ZFP, SZ3 and SPERR (A6). The Hartree contract is relative root-mean-square potential error below </w:t>
      </w:r>
      <m:oMath>
        <m:r>
          <w:rPr>
            <w:rFonts w:ascii="Cambria Math" w:hAnsi="Cambria Math" w:cs="Cambria Math" w:eastAsia="Cambria Math"/>
            <w:sz w:val="20"/>
            <w:szCs w:val="20"/>
          </w:rPr>
          <m:t xml:space="preserve">τ</m:t>
        </m:r>
      </m:oMath>
      <w:r>
        <w:rPr>
          <w:rFonts w:ascii="Arial" w:hAnsi="Arial"/>
          <w:b w:val="0"/>
          <w:i w:val="0"/>
          <w:sz w:val="20"/>
        </w:rPr>
        <w:t>.</w:t>
      </w:r>
    </w:p>
    <w:p>
      <w:pPr>
        <w:spacing w:after="120"/>
        <w:jc w:val="both"/>
      </w:pPr>
      <w:r>
        <w:rPr>
          <w:rFonts w:ascii="Arial" w:hAnsi="Arial"/>
          <w:b w:val="0"/>
          <w:i w:val="0"/>
          <w:sz w:val="20"/>
        </w:rPr>
        <w:t xml:space="preserve">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at least 3.30-fold (Fig. 5c,d; Supplementary Note 3).</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QoI-preserving and Fourier-corrected codecs and preserves slab work functions.</w:t>
      </w:r>
      <w:r>
        <w:rPr>
          <w:rFonts w:ascii="Arial" w:hAnsi="Arial"/>
          <w:b w:val="0"/>
          <w:i w:val="0"/>
          <w:sz w:val="16"/>
        </w:rPr>
        <w:t xml:space="preserve"> 60 new bulk crystals (P1, circles) and 32 new surface slabs (P3b, triangles); every stream is decoded and certified under the Hartree contract, and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b</w:t>
      </w:r>
      <w:r>
        <w:rPr>
          <w:rFonts w:ascii="Arial" w:hAnsi="Arial"/>
          <w:b w:val="0"/>
          <w:i w:val="0"/>
          <w:sz w:val="16"/>
        </w:rPr>
        <w:t xml:space="preserve">, A1 against spectral truncation (A2)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Median ratios A1/A6 and A1/A2 with bootstrap 95% CIs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Certified CR against tolerance: median (line) and interquartile range (band). </w:t>
      </w:r>
      <w:r>
        <w:rPr>
          <w:rFonts w:ascii="Arial" w:hAnsi="Arial"/>
          <w:b/>
          <w:i w:val="0"/>
          <w:sz w:val="16"/>
        </w:rPr>
        <w:t>e</w:t>
      </w:r>
      <w:r>
        <w:rPr>
          <w:rFonts w:ascii="Arial" w:hAnsi="Arial"/>
          <w:b w:val="0"/>
          <w:i w:val="0"/>
          <w:sz w:val="16"/>
        </w:rPr>
        <w:t xml:space="preserve">, A1 against QPET bounding a block average of the density (best of nine configurations), MGARD with smoothness </w:t>
      </w:r>
      <m:oMath>
        <m:r>
          <w:rPr>
            <w:rFonts w:ascii="Cambria Math" w:hAnsi="Cambria Math" w:cs="Cambria Math" w:eastAsia="Cambria Math"/>
            <w:sz w:val="17"/>
            <w:szCs w:val="17"/>
          </w:rPr>
          <m:t xml:space="preserve">s</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oMath>
      <w:r>
        <w:rPr>
          <w:rFonts w:ascii="Arial" w:hAnsi="Arial"/>
          <w:b w:val="0"/>
          <w:i w:val="0"/>
          <w:sz w:val="16"/>
        </w:rPr>
        <w:t xml:space="preserve"> and FFCz (best of 18 configurations, materials it certified)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f</w:t>
      </w:r>
      <w:r>
        <w:rPr>
          <w:rFonts w:ascii="Arial" w:hAnsi="Arial"/>
          <w:b w:val="0"/>
          <w:i w:val="0"/>
          <w:sz w:val="16"/>
        </w:rPr>
        <w:t xml:space="preserve">, Work-function error </w:t>
      </w:r>
      <m:oMath>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r>
          <m:rPr>
            <m:sty m:val="p"/>
          </m:rPr>
          <w:rPr>
            <w:rFonts w:ascii="Cambria Math" w:hAnsi="Cambria Math" w:cs="Cambria Math" w:eastAsia="Cambria Math"/>
            <w:sz w:val="17"/>
            <w:szCs w:val="17"/>
          </w:rPr>
          <m:t xml:space="preserve">Φ</m:t>
        </m:r>
        <m:r>
          <m:rPr>
            <m:sty m:val="p"/>
          </m:rPr>
          <w:rPr>
            <w:rFonts w:ascii="Cambria Math" w:hAnsi="Cambria Math" w:cs="Cambria Math" w:eastAsia="Cambria Math"/>
            <w:sz w:val="17"/>
            <w:szCs w:val="17"/>
          </w:rPr>
          <m:t xml:space="preserve">|</m:t>
        </m:r>
      </m:oMath>
      <w:r>
        <w:rPr>
          <w:rFonts w:ascii="Arial" w:hAnsi="Arial"/>
          <w:b w:val="0"/>
          <w:i w:val="0"/>
          <w:sz w:val="16"/>
        </w:rPr>
        <w:t xml:space="preserve"> of the certified streams for the 27 slabs with a vacuum region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bars, medians. Lines in </w:t>
      </w:r>
      <w:r>
        <w:rPr>
          <w:rFonts w:ascii="Arial" w:hAnsi="Arial"/>
          <w:b/>
          <w:i w:val="0"/>
          <w:sz w:val="16"/>
        </w:rPr>
        <w:t>a</w:t>
      </w:r>
      <w:r>
        <w:rPr>
          <w:rFonts w:ascii="Arial" w:hAnsi="Arial"/>
          <w:b w:val="0"/>
          <w:i w:val="0"/>
          <w:sz w:val="16"/>
        </w:rPr>
        <w:t xml:space="preserve">, </w:t>
      </w:r>
      <w:r>
        <w:rPr>
          <w:rFonts w:ascii="Arial" w:hAnsi="Arial"/>
          <w:b/>
          <w:i w:val="0"/>
          <w:sz w:val="16"/>
        </w:rPr>
        <w:t>b</w:t>
      </w:r>
      <w:r>
        <w:rPr>
          <w:rFonts w:ascii="Arial" w:hAnsi="Arial"/>
          <w:b w:val="0"/>
          <w:i w:val="0"/>
          <w:sz w:val="16"/>
        </w:rPr>
        <w:t xml:space="preserve"> and </w:t>
      </w:r>
      <w:r>
        <w:rPr>
          <w:rFonts w:ascii="Arial" w:hAnsi="Arial"/>
          <w:b/>
          <w:i w:val="0"/>
          <w:sz w:val="16"/>
        </w:rPr>
        <w:t>e</w:t>
      </w:r>
      <w:r>
        <w:rPr>
          <w:rFonts w:ascii="Arial" w:hAnsi="Arial"/>
          <w:b w:val="0"/>
          <w:i w:val="0"/>
          <w:sz w:val="16"/>
        </w:rPr>
        <w:t xml:space="preserve"> mark ratios 1 and 10. A3, operational optimum; A5, operator-blind rate–distortion optimum.</w:t>
      </w:r>
    </w:p>
    <w:p>
      <w:pPr>
        <w:spacing w:after="120"/>
        <w:jc w:val="both"/>
      </w:pPr>
      <w:r>
        <w:rPr>
          <w:rFonts w:ascii="Arial" w:hAnsi="Arial"/>
          <w:b w:val="0"/>
          <w:i w:val="0"/>
          <w:sz w:val="20"/>
        </w:rPr>
        <w:t xml:space="preserve">The advantage holds against compressors built to preserve derived quantities. QPET¹⁰ and MGARD⁸ received the same search and certificate on the same 92 materials. QPET bounds local quantities, so it bounded the closest one, the block average of the density (Methods); MGARD used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smoothness matching the Hartree weight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best QPET configuration read the full float64 density (SPERR host) in 60/60 bulk crystals and 26/32 slabs. The law certified 6.31-fold more than QPET on bulk crystals (95% CI 5.53–6.95; 60/60) and 9.47-fold more on slabs (8.14–12.8; 32/32), and 18.2- and 21.0-fold more than MGARD with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(Fig. 5e), winning in every material at all three tolerances (Supplementary Note 3). Correcting a pointwise stream in Fourier space does not recover the Hartree weight either. FFCz,¹⁶ which corrects ZFP, SZ3 or SPERR reconstructions to a frequency-domain bound, received the same search and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 certified 24/60 bulk crystals and 27/32 slabs, and in each of them the law certified more, 20.3-fold (95% CI 13.0–24.4) and 22.7-fold (18.1–27.5) (Fig. 5e).</w:t>
      </w:r>
    </w:p>
    <w:p>
      <w:pPr>
        <w:spacing w:after="120"/>
        <w:jc w:val="both"/>
      </w:pPr>
      <w:r>
        <w:rPr>
          <w:rFonts w:ascii="Arial" w:hAnsi="Arial"/>
          <w:b w:val="0"/>
          <w:i w:val="0"/>
          <w:sz w:val="20"/>
        </w:rPr>
        <w:t xml:space="preserve">The advantage over truncation grows at tight tolerances, to 1.59-fold (bulk) and 2.16-fold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most coefficients fall in the quantizer's dead zone, where low-rate transform-coding theory replaces the high-rate law,³¹,³² and truncation certifies more (0.79 and 0.69), because a byte-wise coder pays for every zero that truncation omits. Reverse water-filling, the low-rate solution, keeps the closed form: it writes a shell only when its operator-weighted energy exceeds the law's rounding noise, </w:t>
      </w:r>
      <m:oMath>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per real component (Methods). With adaptive arithmetic coding in one writer, the water-filling law exceeded truncation in 92/92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(median 1.34-fold)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(1.45-fold) (Supplementary Note 3).</w:t>
      </w:r>
    </w:p>
    <w:p>
      <w:pPr>
        <w:spacing w:after="120"/>
        <w:jc w:val="both"/>
      </w:pPr>
      <w:r>
        <w:rPr>
          <w:rFonts w:ascii="Arial" w:hAnsi="Arial"/>
          <w:b w:val="0"/>
          <w:i w:val="0"/>
          <w:sz w:val="20"/>
        </w:rPr>
        <w:t xml:space="preserve">The certificate has a direct physical reading on surfaces. The work function is read from stored data as the electrostatic vacuum level minus the stored Fermi energy; with the ionic potential exact, a decoded density shifts it by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the planar-averaged Hartree-potential error in the vacuum. For the 27 slabs with at least 3 Å of vacuum, the law's certified streams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moved the work function by a median 0.004 meV, against 0.34 meV for the best pointwise codec, and at every plane of every vacuum window its error was at most 0.45 meV (pointwise: up to 2.8 meV).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r>
          <m:rPr>
            <m:sty m:val="p"/>
          </m:rPr>
          <w:rPr>
            <w:rFonts w:ascii="Cambria Math" w:hAnsi="Cambria Math" w:cs="Cambria Math" w:eastAsia="Cambria Math"/>
            <w:sz w:val="20"/>
            <w:szCs w:val="20"/>
          </w:rPr>
          <m:t xml:space="preserve">|</m:t>
        </m:r>
      </m:oMath>
      <w:r>
        <w:rPr>
          <w:rFonts w:ascii="Arial" w:hAnsi="Arial"/>
          <w:b w:val="0"/>
          <w:i w:val="0"/>
          <w:sz w:val="20"/>
        </w:rPr>
        <w:t xml:space="preserve"> stayed below 10 meV in 27/27 slabs for the law and in 2/27 for the best pointwise codec (Fig. 5f; Supplementary Note 3).</w:t>
      </w:r>
    </w:p>
    <w:p>
      <w:pPr>
        <w:spacing w:after="120"/>
        <w:jc w:val="both"/>
      </w:pPr>
      <w:r>
        <w:rPr>
          <w:rFonts w:ascii="Arial" w:hAnsi="Arial"/>
          <w:b w:val="0"/>
          <w:i w:val="0"/>
          <w:sz w:val="20"/>
        </w:rPr>
        <w:t xml:space="preserve">Adaptive arithmetic coding and a binary header certified 1.34-fold more than the law's zlib container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and 2.51-fold more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Crystal symmetry adds a further factor: a space-group operation maps each Fourier coefficient onto another with a known phase, so each star is coded as one representative plus residuals. In the 74 of 92 densities that kept their space group on the grid, this shrank the stream again (median 1.91-fold over all 92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The water-filling writer certified 2.34-fold more than operational allocation in the zlib container (95% CI 2.14–2.69; 92/92) and 35.7-fold more than the best pointwise codec (Supplementary Note 3).</w:t>
      </w:r>
    </w:p>
    <w:p>
      <w:pPr>
        <w:spacing w:after="120"/>
        <w:jc w:val="both"/>
      </w:pPr>
      <w:r>
        <w:rPr>
          <w:rFonts w:ascii="Arial" w:hAnsi="Arial"/>
          <w:b w:val="0"/>
          <w:i w:val="0"/>
          <w:sz w:val="20"/>
        </w:rPr>
        <w:t xml:space="preserve">At archive scale the advantage compounds. Under the Hartree contract every object of the archive sample was eligible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With per-atom moments certified on the Bader basins of the decoded density and the total density written by the water-filling writer, the archive shrinks from 8.50 TB to an estimated 15.3 GB, 555-fold (95% CI 492–635), against 347-fold for operational allocation in the zlib container, 316-fold for the closed-form law, 232-fold for truncation and 34.6-fold for the best pointwise codec.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it shrinks 1,818-fold, against 1,371-fold for operational allocation, and the magnetization stream then holds 64% of the stored bytes (Supplementary Note 4 and Supplementary Fig. 2).</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 xml:space="preserve">Timed on the same 92 materials (Table 2; Methods), certification costs the law least, because its Hartree distortion is exact in orbit space.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certified search took a median 0.38 s per bulk crystal and 0.68 s per slab, about 50-fold less than for the pointwise codecs and MGARD and about 200-fold less than for QPET. At 1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law streams delivered the usable density 16.5- and 8.2-fold sooner than the files the archives distribute.</w:t>
      </w:r>
    </w:p>
    <w:p>
      <w:pPr>
        <w:spacing w:after="120"/>
        <w:jc w:val="both"/>
      </w:pPr>
      <w:r>
        <w:rPr>
          <w:rFonts w:ascii="Arial" w:hAnsi="Arial"/>
          <w:b/>
          <w:i w:val="0"/>
          <w:sz w:val="20"/>
        </w:rPr>
        <w:t xml:space="preserve">Table 2 | Deployment cost of certified Hartree compression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i w:val="0"/>
          <w:sz w:val="20"/>
        </w:rPr>
        <w:t>.</w:t>
      </w:r>
      <w:r>
        <w:rPr>
          <w:rFonts w:ascii="Arial" w:hAnsi="Arial"/>
          <w:b w:val="0"/>
          <w:i w:val="0"/>
          <w:sz w:val="20"/>
        </w:rPr>
        <w:t xml:space="preserve"> Medians over 60 bulk crystals / 32 slabs (P1 / P3b) at the certified points of Fig. 5, regenerated from the recorded parameters; one material per GitHub-hosted runner, single thread, each operation in a fresh process. Certified search: the arm's complete certified compression from the raw field (A6 searches all three codecs, QPET all nine configurations). Encode and decode: medians of five repetitions after a warm-up. Decode memory: peak resident set above the loaded input in units of the float64 field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bytes); for QPET and MGARD, the codec program's peak above its footprint on a </w:t>
      </w:r>
      <m:oMath>
        <m:sSup>
          <m:e>
            <m:r>
              <m:rPr>
                <m:sty m:val="p"/>
              </m:rPr>
              <w:rPr>
                <w:rFonts w:ascii="Cambria Math" w:hAnsi="Cambria Math" w:cs="Cambria Math" w:eastAsia="Cambria Math"/>
                <w:sz w:val="20"/>
                <w:szCs w:val="20"/>
              </w:rPr>
              <m:t xml:space="preserve">16</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field. Time to field: </w:t>
      </w:r>
      <m:oMath>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bytes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decode time</m:t>
        </m:r>
      </m:oMath>
      <w:r>
        <w:rPr>
          <w:rFonts w:ascii="Arial" w:hAnsi="Arial"/>
          <w:b w:val="0"/>
          <w:i w:val="0"/>
          <w:sz w:val="20"/>
        </w:rPr>
        <w:t xml:space="preserve"> at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Archived file: Materials Project gzipped JSON and NOMAD CHGCAR as served; its decode is parsing to a float64 array. Paired ratios, intervals and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i w:val="0"/>
                <w:sz w:val="15"/>
              </w:rPr>
              <w:t>codec</w:t>
            </w:r>
          </w:p>
        </w:tc>
        <w:tc>
          <w:tcPr>
            <w:tcW w:type="dxa" w:w="1261"/>
            <w:tcBorders>
              <w:top w:val="single" w:sz="6" w:color="1B1B1B"/>
              <w:bottom w:val="single" w:sz="4" w:color="1B1B1B"/>
              <w:left w:val="nil"/>
              <w:right w:val="nil"/>
            </w:tcBorders>
          </w:tcPr>
          <w:p>
            <w:r/>
            <w:r>
              <w:rPr>
                <w:rFonts w:ascii="Arial" w:hAnsi="Arial"/>
                <w:b/>
                <w:i w:val="0"/>
                <w:sz w:val="15"/>
              </w:rPr>
              <w:t>certified CR</w:t>
            </w:r>
          </w:p>
        </w:tc>
        <w:tc>
          <w:tcPr>
            <w:tcW w:type="dxa" w:w="1261"/>
            <w:tcBorders>
              <w:top w:val="single" w:sz="6" w:color="1B1B1B"/>
              <w:bottom w:val="single" w:sz="4" w:color="1B1B1B"/>
              <w:left w:val="nil"/>
              <w:right w:val="nil"/>
            </w:tcBorders>
          </w:tcPr>
          <w:p>
            <w:r/>
            <w:r>
              <w:rPr>
                <w:rFonts w:ascii="Arial" w:hAnsi="Arial"/>
                <w:b/>
                <w:i w:val="0"/>
                <w:sz w:val="15"/>
              </w:rPr>
              <w:t>stream (kB)</w:t>
            </w:r>
          </w:p>
        </w:tc>
        <w:tc>
          <w:tcPr>
            <w:tcW w:type="dxa" w:w="1261"/>
            <w:tcBorders>
              <w:top w:val="single" w:sz="6" w:color="1B1B1B"/>
              <w:bottom w:val="single" w:sz="4" w:color="1B1B1B"/>
              <w:left w:val="nil"/>
              <w:right w:val="nil"/>
            </w:tcBorders>
          </w:tcPr>
          <w:p>
            <w:r/>
            <w:r>
              <w:rPr>
                <w:rFonts w:ascii="Arial" w:hAnsi="Arial"/>
                <w:b/>
                <w:i w:val="0"/>
                <w:sz w:val="15"/>
              </w:rPr>
              <w:t>certified search (s)</w:t>
            </w:r>
          </w:p>
        </w:tc>
        <w:tc>
          <w:tcPr>
            <w:tcW w:type="dxa" w:w="1261"/>
            <w:tcBorders>
              <w:top w:val="single" w:sz="6" w:color="1B1B1B"/>
              <w:bottom w:val="single" w:sz="4" w:color="1B1B1B"/>
              <w:left w:val="nil"/>
              <w:right w:val="nil"/>
            </w:tcBorders>
          </w:tcPr>
          <w:p>
            <w:r/>
            <w:r>
              <w:rPr>
                <w:rFonts w:ascii="Arial" w:hAnsi="Arial"/>
                <w:b/>
                <w:i w:val="0"/>
                <w:sz w:val="15"/>
              </w:rPr>
              <w:t>encode (s)</w:t>
            </w:r>
          </w:p>
        </w:tc>
        <w:tc>
          <w:tcPr>
            <w:tcW w:type="dxa" w:w="1261"/>
            <w:tcBorders>
              <w:top w:val="single" w:sz="6" w:color="1B1B1B"/>
              <w:bottom w:val="single" w:sz="4" w:color="1B1B1B"/>
              <w:left w:val="nil"/>
              <w:right w:val="nil"/>
            </w:tcBorders>
          </w:tcPr>
          <w:p>
            <w:r/>
            <w:r>
              <w:rPr>
                <w:rFonts w:ascii="Arial" w:hAnsi="Arial"/>
                <w:b/>
                <w:i w:val="0"/>
                <w:sz w:val="15"/>
              </w:rPr>
              <w:t>decode (ms)</w:t>
            </w:r>
          </w:p>
        </w:tc>
        <w:tc>
          <w:tcPr>
            <w:tcW w:type="dxa" w:w="1261"/>
            <w:tcBorders>
              <w:top w:val="single" w:sz="6" w:color="1B1B1B"/>
              <w:bottom w:val="single" w:sz="4" w:color="1B1B1B"/>
              <w:left w:val="nil"/>
              <w:right w:val="nil"/>
            </w:tcBorders>
          </w:tcPr>
          <w:p>
            <w:r/>
            <w:r>
              <w:rPr>
                <w:rFonts w:ascii="Arial" w:hAnsi="Arial"/>
                <w:b/>
                <w:i w:val="0"/>
                <w:sz w:val="15"/>
              </w:rPr>
              <w:t>decode memory (× field)</w:t>
            </w:r>
          </w:p>
        </w:tc>
        <w:tc>
          <w:tcPr>
            <w:tcW w:type="dxa" w:w="1261"/>
            <w:tcBorders>
              <w:top w:val="single" w:sz="6" w:color="1B1B1B"/>
              <w:bottom w:val="single" w:sz="4" w:color="1B1B1B"/>
              <w:left w:val="nil"/>
              <w:right w:val="nil"/>
            </w:tcBorders>
          </w:tcPr>
          <w:p>
            <w:r/>
            <w:r>
              <w:rPr>
                <w:rFonts w:ascii="Arial" w:hAnsi="Arial"/>
                <w:b/>
                <w:i w:val="0"/>
                <w:sz w:val="15"/>
              </w:rPr>
              <w:t>time to field (ms)</w:t>
            </w:r>
          </w:p>
        </w:tc>
      </w:tr>
      <w:tr>
        <w:tc>
          <w:tcPr>
            <w:tcW w:type="dxa" w:w="1261"/>
            <w:tcBorders>
              <w:top w:val="nil"/>
              <w:bottom w:val="nil"/>
              <w:left w:val="nil"/>
              <w:right w:val="nil"/>
            </w:tcBorders>
          </w:tcPr>
          <w:p>
            <w:pPr>
              <w:spacing w:after="0"/>
            </w:pPr>
            <w:r/>
            <w:r>
              <w:rPr>
                <w:rFonts w:ascii="Arial" w:hAnsi="Arial"/>
                <w:b w:val="0"/>
                <w:i w:val="0"/>
                <w:sz w:val="15"/>
              </w:rPr>
              <w:t>closed-form law (A1)</w:t>
            </w:r>
          </w:p>
        </w:tc>
        <w:tc>
          <w:tcPr>
            <w:tcW w:type="dxa" w:w="1261"/>
            <w:tcBorders>
              <w:top w:val="nil"/>
              <w:bottom w:val="nil"/>
              <w:left w:val="nil"/>
              <w:right w:val="nil"/>
            </w:tcBorders>
          </w:tcPr>
          <w:p>
            <w:pPr>
              <w:spacing w:after="0"/>
            </w:pPr>
            <w:r/>
            <w:r>
              <w:rPr>
                <w:rFonts w:ascii="Arial" w:hAnsi="Arial"/>
                <w:b w:val="0"/>
                <w:i w:val="0"/>
                <w:sz w:val="15"/>
              </w:rPr>
              <w:t>195 / 504</w:t>
            </w:r>
          </w:p>
        </w:tc>
        <w:tc>
          <w:tcPr>
            <w:tcW w:type="dxa" w:w="1261"/>
            <w:tcBorders>
              <w:top w:val="nil"/>
              <w:bottom w:val="nil"/>
              <w:left w:val="nil"/>
              <w:right w:val="nil"/>
            </w:tcBorders>
          </w:tcPr>
          <w:p>
            <w:pPr>
              <w:spacing w:after="0"/>
            </w:pPr>
            <w:r/>
            <w:r>
              <w:rPr>
                <w:rFonts w:ascii="Arial" w:hAnsi="Arial"/>
                <w:b w:val="0"/>
                <w:i w:val="0"/>
                <w:sz w:val="15"/>
              </w:rPr>
              <w:t>43.2 / 23.0</w:t>
            </w:r>
          </w:p>
        </w:tc>
        <w:tc>
          <w:tcPr>
            <w:tcW w:type="dxa" w:w="1261"/>
            <w:tcBorders>
              <w:top w:val="nil"/>
              <w:bottom w:val="nil"/>
              <w:left w:val="nil"/>
              <w:right w:val="nil"/>
            </w:tcBorders>
          </w:tcPr>
          <w:p>
            <w:pPr>
              <w:spacing w:after="0"/>
            </w:pPr>
            <w:r/>
            <w:r>
              <w:rPr>
                <w:rFonts w:ascii="Arial" w:hAnsi="Arial"/>
                <w:b w:val="0"/>
                <w:i w:val="0"/>
                <w:sz w:val="15"/>
              </w:rPr>
              <w:t>0.38 / 0.68</w:t>
            </w:r>
          </w:p>
        </w:tc>
        <w:tc>
          <w:tcPr>
            <w:tcW w:type="dxa" w:w="1261"/>
            <w:tcBorders>
              <w:top w:val="nil"/>
              <w:bottom w:val="nil"/>
              <w:left w:val="nil"/>
              <w:right w:val="nil"/>
            </w:tcBorders>
          </w:tcPr>
          <w:p>
            <w:pPr>
              <w:spacing w:after="0"/>
            </w:pPr>
            <w:r/>
            <w:r>
              <w:rPr>
                <w:rFonts w:ascii="Arial" w:hAnsi="Arial"/>
                <w:b w:val="0"/>
                <w:i w:val="0"/>
                <w:sz w:val="15"/>
              </w:rPr>
              <w:t>0.070 / 0.113</w:t>
            </w:r>
          </w:p>
        </w:tc>
        <w:tc>
          <w:tcPr>
            <w:tcW w:type="dxa" w:w="1261"/>
            <w:tcBorders>
              <w:top w:val="nil"/>
              <w:bottom w:val="nil"/>
              <w:left w:val="nil"/>
              <w:right w:val="nil"/>
            </w:tcBorders>
          </w:tcPr>
          <w:p>
            <w:pPr>
              <w:spacing w:after="0"/>
            </w:pPr>
            <w:r/>
            <w:r>
              <w:rPr>
                <w:rFonts w:ascii="Arial" w:hAnsi="Arial"/>
                <w:b w:val="0"/>
                <w:i w:val="0"/>
                <w:sz w:val="15"/>
              </w:rPr>
              <w:t>40 / 65</w:t>
            </w:r>
          </w:p>
        </w:tc>
        <w:tc>
          <w:tcPr>
            <w:tcW w:type="dxa" w:w="1261"/>
            <w:tcBorders>
              <w:top w:val="nil"/>
              <w:bottom w:val="nil"/>
              <w:left w:val="nil"/>
              <w:right w:val="nil"/>
            </w:tcBorders>
          </w:tcPr>
          <w:p>
            <w:pPr>
              <w:spacing w:after="0"/>
            </w:pPr>
            <w:r/>
            <w:r>
              <w:rPr>
                <w:rFonts w:ascii="Arial" w:hAnsi="Arial"/>
                <w:b w:val="0"/>
                <w:i w:val="0"/>
                <w:sz w:val="15"/>
              </w:rPr>
              <w:t>5.0 / 5.0</w:t>
            </w:r>
          </w:p>
        </w:tc>
        <w:tc>
          <w:tcPr>
            <w:tcW w:type="dxa" w:w="1261"/>
            <w:tcBorders>
              <w:top w:val="nil"/>
              <w:bottom w:val="nil"/>
              <w:left w:val="nil"/>
              <w:right w:val="nil"/>
            </w:tcBorders>
          </w:tcPr>
          <w:p>
            <w:pPr>
              <w:spacing w:after="0"/>
            </w:pPr>
            <w:r/>
            <w:r>
              <w:rPr>
                <w:rFonts w:ascii="Arial" w:hAnsi="Arial"/>
                <w:b w:val="0"/>
                <w:i w:val="0"/>
                <w:sz w:val="15"/>
              </w:rPr>
              <w:t>40 / 66</w:t>
            </w:r>
          </w:p>
        </w:tc>
      </w:tr>
      <w:tr>
        <w:tc>
          <w:tcPr>
            <w:tcW w:type="dxa" w:w="1261"/>
            <w:tcBorders>
              <w:top w:val="nil"/>
              <w:bottom w:val="nil"/>
              <w:left w:val="nil"/>
              <w:right w:val="nil"/>
            </w:tcBorders>
          </w:tcPr>
          <w:p>
            <w:pPr>
              <w:spacing w:after="0"/>
            </w:pPr>
            <w:r/>
            <w:r>
              <w:rPr>
                <w:rFonts w:ascii="Arial" w:hAnsi="Arial"/>
                <w:b w:val="0"/>
                <w:i w:val="0"/>
                <w:sz w:val="15"/>
              </w:rPr>
              <w:t>operational optimum (A3)</w:t>
            </w:r>
          </w:p>
        </w:tc>
        <w:tc>
          <w:tcPr>
            <w:tcW w:type="dxa" w:w="1261"/>
            <w:tcBorders>
              <w:top w:val="nil"/>
              <w:bottom w:val="nil"/>
              <w:left w:val="nil"/>
              <w:right w:val="nil"/>
            </w:tcBorders>
          </w:tcPr>
          <w:p>
            <w:pPr>
              <w:spacing w:after="0"/>
            </w:pPr>
            <w:r/>
            <w:r>
              <w:rPr>
                <w:rFonts w:ascii="Arial" w:hAnsi="Arial"/>
                <w:b w:val="0"/>
                <w:i w:val="0"/>
                <w:sz w:val="15"/>
              </w:rPr>
              <w:t>224 / 647</w:t>
            </w:r>
          </w:p>
        </w:tc>
        <w:tc>
          <w:tcPr>
            <w:tcW w:type="dxa" w:w="1261"/>
            <w:tcBorders>
              <w:top w:val="nil"/>
              <w:bottom w:val="nil"/>
              <w:left w:val="nil"/>
              <w:right w:val="nil"/>
            </w:tcBorders>
          </w:tcPr>
          <w:p>
            <w:pPr>
              <w:spacing w:after="0"/>
            </w:pPr>
            <w:r/>
            <w:r>
              <w:rPr>
                <w:rFonts w:ascii="Arial" w:hAnsi="Arial"/>
                <w:b w:val="0"/>
                <w:i w:val="0"/>
                <w:sz w:val="15"/>
              </w:rPr>
              <w:t>39.2 / 19.2</w:t>
            </w:r>
          </w:p>
        </w:tc>
        <w:tc>
          <w:tcPr>
            <w:tcW w:type="dxa" w:w="1261"/>
            <w:tcBorders>
              <w:top w:val="nil"/>
              <w:bottom w:val="nil"/>
              <w:left w:val="nil"/>
              <w:right w:val="nil"/>
            </w:tcBorders>
          </w:tcPr>
          <w:p>
            <w:pPr>
              <w:spacing w:after="0"/>
            </w:pPr>
            <w:r/>
            <w:r>
              <w:rPr>
                <w:rFonts w:ascii="Arial" w:hAnsi="Arial"/>
                <w:b w:val="0"/>
                <w:i w:val="0"/>
                <w:sz w:val="15"/>
              </w:rPr>
              <w:t>3.6 / 3.0</w:t>
            </w:r>
          </w:p>
        </w:tc>
        <w:tc>
          <w:tcPr>
            <w:tcW w:type="dxa" w:w="1261"/>
            <w:tcBorders>
              <w:top w:val="nil"/>
              <w:bottom w:val="nil"/>
              <w:left w:val="nil"/>
              <w:right w:val="nil"/>
            </w:tcBorders>
          </w:tcPr>
          <w:p>
            <w:pPr>
              <w:spacing w:after="0"/>
            </w:pPr>
            <w:r/>
            <w:r>
              <w:rPr>
                <w:rFonts w:ascii="Arial" w:hAnsi="Arial"/>
                <w:b w:val="0"/>
                <w:i w:val="0"/>
                <w:sz w:val="15"/>
              </w:rPr>
              <w:t>3.47 / 2.84</w:t>
            </w:r>
          </w:p>
        </w:tc>
        <w:tc>
          <w:tcPr>
            <w:tcW w:type="dxa" w:w="1261"/>
            <w:tcBorders>
              <w:top w:val="nil"/>
              <w:bottom w:val="nil"/>
              <w:left w:val="nil"/>
              <w:right w:val="nil"/>
            </w:tcBorders>
          </w:tcPr>
          <w:p>
            <w:pPr>
              <w:spacing w:after="0"/>
            </w:pPr>
            <w:r/>
            <w:r>
              <w:rPr>
                <w:rFonts w:ascii="Arial" w:hAnsi="Arial"/>
                <w:b w:val="0"/>
                <w:i w:val="0"/>
                <w:sz w:val="15"/>
              </w:rPr>
              <w:t>26 / 44</w:t>
            </w:r>
          </w:p>
        </w:tc>
        <w:tc>
          <w:tcPr>
            <w:tcW w:type="dxa" w:w="1261"/>
            <w:tcBorders>
              <w:top w:val="nil"/>
              <w:bottom w:val="nil"/>
              <w:left w:val="nil"/>
              <w:right w:val="nil"/>
            </w:tcBorders>
          </w:tcPr>
          <w:p>
            <w:pPr>
              <w:spacing w:after="0"/>
            </w:pPr>
            <w:r/>
            <w:r>
              <w:rPr>
                <w:rFonts w:ascii="Arial" w:hAnsi="Arial"/>
                <w:b w:val="0"/>
                <w:i w:val="0"/>
                <w:sz w:val="15"/>
              </w:rPr>
              <w:t>4.0 / 3.6</w:t>
            </w:r>
          </w:p>
        </w:tc>
        <w:tc>
          <w:tcPr>
            <w:tcW w:type="dxa" w:w="1261"/>
            <w:tcBorders>
              <w:top w:val="nil"/>
              <w:bottom w:val="nil"/>
              <w:left w:val="nil"/>
              <w:right w:val="nil"/>
            </w:tcBorders>
          </w:tcPr>
          <w:p>
            <w:pPr>
              <w:spacing w:after="0"/>
            </w:pPr>
            <w:r/>
            <w:r>
              <w:rPr>
                <w:rFonts w:ascii="Arial" w:hAnsi="Arial"/>
                <w:b w:val="0"/>
                <w:i w:val="0"/>
                <w:sz w:val="15"/>
              </w:rPr>
              <w:t>27 / 44</w:t>
            </w:r>
          </w:p>
        </w:tc>
      </w:tr>
      <w:tr>
        <w:tc>
          <w:tcPr>
            <w:tcW w:type="dxa" w:w="1261"/>
            <w:tcBorders>
              <w:top w:val="nil"/>
              <w:bottom w:val="nil"/>
              <w:left w:val="nil"/>
              <w:right w:val="nil"/>
            </w:tcBorders>
          </w:tcPr>
          <w:p>
            <w:pPr>
              <w:spacing w:after="0"/>
            </w:pPr>
            <w:r/>
            <w:r>
              <w:rPr>
                <w:rFonts w:ascii="Arial" w:hAnsi="Arial"/>
                <w:b w:val="0"/>
                <w:i w:val="0"/>
                <w:sz w:val="15"/>
              </w:rPr>
              <w:t>best of ZFP, SZ3, SPERR (A6)</w:t>
            </w:r>
          </w:p>
        </w:tc>
        <w:tc>
          <w:tcPr>
            <w:tcW w:type="dxa" w:w="1261"/>
            <w:tcBorders>
              <w:top w:val="nil"/>
              <w:bottom w:val="nil"/>
              <w:left w:val="nil"/>
              <w:right w:val="nil"/>
            </w:tcBorders>
          </w:tcPr>
          <w:p>
            <w:pPr>
              <w:spacing w:after="0"/>
            </w:pPr>
            <w:r/>
            <w:r>
              <w:rPr>
                <w:rFonts w:ascii="Arial" w:hAnsi="Arial"/>
                <w:b w:val="0"/>
                <w:i w:val="0"/>
                <w:sz w:val="15"/>
              </w:rPr>
              <w:t>16.0 / 23.3</w:t>
            </w:r>
          </w:p>
        </w:tc>
        <w:tc>
          <w:tcPr>
            <w:tcW w:type="dxa" w:w="1261"/>
            <w:tcBorders>
              <w:top w:val="nil"/>
              <w:bottom w:val="nil"/>
              <w:left w:val="nil"/>
              <w:right w:val="nil"/>
            </w:tcBorders>
          </w:tcPr>
          <w:p>
            <w:pPr>
              <w:spacing w:after="0"/>
            </w:pPr>
            <w:r/>
            <w:r>
              <w:rPr>
                <w:rFonts w:ascii="Arial" w:hAnsi="Arial"/>
                <w:b w:val="0"/>
                <w:i w:val="0"/>
                <w:sz w:val="15"/>
              </w:rPr>
              <w:t>489 / 571</w:t>
            </w:r>
          </w:p>
        </w:tc>
        <w:tc>
          <w:tcPr>
            <w:tcW w:type="dxa" w:w="1261"/>
            <w:tcBorders>
              <w:top w:val="nil"/>
              <w:bottom w:val="nil"/>
              <w:left w:val="nil"/>
              <w:right w:val="nil"/>
            </w:tcBorders>
          </w:tcPr>
          <w:p>
            <w:pPr>
              <w:spacing w:after="0"/>
            </w:pPr>
            <w:r/>
            <w:r>
              <w:rPr>
                <w:rFonts w:ascii="Arial" w:hAnsi="Arial"/>
                <w:b w:val="0"/>
                <w:i w:val="0"/>
                <w:sz w:val="15"/>
              </w:rPr>
              <w:t>18.1 / 32.9</w:t>
            </w:r>
          </w:p>
        </w:tc>
        <w:tc>
          <w:tcPr>
            <w:tcW w:type="dxa" w:w="1261"/>
            <w:tcBorders>
              <w:top w:val="nil"/>
              <w:bottom w:val="nil"/>
              <w:left w:val="nil"/>
              <w:right w:val="nil"/>
            </w:tcBorders>
          </w:tcPr>
          <w:p>
            <w:pPr>
              <w:spacing w:after="0"/>
            </w:pPr>
            <w:r/>
            <w:r>
              <w:rPr>
                <w:rFonts w:ascii="Arial" w:hAnsi="Arial"/>
                <w:b w:val="0"/>
                <w:i w:val="0"/>
                <w:sz w:val="15"/>
              </w:rPr>
              <w:t>0.033 / 0.019</w:t>
            </w:r>
          </w:p>
        </w:tc>
        <w:tc>
          <w:tcPr>
            <w:tcW w:type="dxa" w:w="1261"/>
            <w:tcBorders>
              <w:top w:val="nil"/>
              <w:bottom w:val="nil"/>
              <w:left w:val="nil"/>
              <w:right w:val="nil"/>
            </w:tcBorders>
          </w:tcPr>
          <w:p>
            <w:pPr>
              <w:spacing w:after="0"/>
            </w:pPr>
            <w:r/>
            <w:r>
              <w:rPr>
                <w:rFonts w:ascii="Arial" w:hAnsi="Arial"/>
                <w:b w:val="0"/>
                <w:i w:val="0"/>
                <w:sz w:val="15"/>
              </w:rPr>
              <w:t>19 / 11</w:t>
            </w:r>
          </w:p>
        </w:tc>
        <w:tc>
          <w:tcPr>
            <w:tcW w:type="dxa" w:w="1261"/>
            <w:tcBorders>
              <w:top w:val="nil"/>
              <w:bottom w:val="nil"/>
              <w:left w:val="nil"/>
              <w:right w:val="nil"/>
            </w:tcBorders>
          </w:tcPr>
          <w:p>
            <w:pPr>
              <w:spacing w:after="0"/>
            </w:pPr>
            <w:r/>
            <w:r>
              <w:rPr>
                <w:rFonts w:ascii="Arial" w:hAnsi="Arial"/>
                <w:b w:val="0"/>
                <w:i w:val="0"/>
                <w:sz w:val="15"/>
              </w:rPr>
              <w:t>2.0 / 2.0</w:t>
            </w:r>
          </w:p>
        </w:tc>
        <w:tc>
          <w:tcPr>
            <w:tcW w:type="dxa" w:w="1261"/>
            <w:tcBorders>
              <w:top w:val="nil"/>
              <w:bottom w:val="nil"/>
              <w:left w:val="nil"/>
              <w:right w:val="nil"/>
            </w:tcBorders>
          </w:tcPr>
          <w:p>
            <w:pPr>
              <w:spacing w:after="0"/>
            </w:pPr>
            <w:r/>
            <w:r>
              <w:rPr>
                <w:rFonts w:ascii="Arial" w:hAnsi="Arial"/>
                <w:b w:val="0"/>
                <w:i w:val="0"/>
                <w:sz w:val="15"/>
              </w:rPr>
              <w:t>24 / 16</w:t>
            </w:r>
          </w:p>
        </w:tc>
      </w:tr>
      <w:tr>
        <w:tc>
          <w:tcPr>
            <w:tcW w:type="dxa" w:w="1261"/>
            <w:tcBorders>
              <w:top w:val="nil"/>
              <w:bottom w:val="nil"/>
              <w:left w:val="nil"/>
              <w:right w:val="nil"/>
            </w:tcBorders>
          </w:tcPr>
          <w:p>
            <w:pPr>
              <w:spacing w:after="0"/>
            </w:pPr>
            <w:r/>
            <w:r>
              <w:rPr>
                <w:rFonts w:ascii="Arial" w:hAnsi="Arial"/>
                <w:b w:val="0"/>
                <w:i w:val="0"/>
                <w:sz w:val="15"/>
              </w:rPr>
              <w:t>QPET, best of nine</w:t>
            </w:r>
          </w:p>
        </w:tc>
        <w:tc>
          <w:tcPr>
            <w:tcW w:type="dxa" w:w="1261"/>
            <w:tcBorders>
              <w:top w:val="nil"/>
              <w:bottom w:val="nil"/>
              <w:left w:val="nil"/>
              <w:right w:val="nil"/>
            </w:tcBorders>
          </w:tcPr>
          <w:p>
            <w:pPr>
              <w:spacing w:after="0"/>
            </w:pPr>
            <w:r/>
            <w:r>
              <w:rPr>
                <w:rFonts w:ascii="Arial" w:hAnsi="Arial"/>
                <w:b w:val="0"/>
                <w:i w:val="0"/>
                <w:sz w:val="15"/>
              </w:rPr>
              <w:t>29.4 / 46.0</w:t>
            </w:r>
          </w:p>
        </w:tc>
        <w:tc>
          <w:tcPr>
            <w:tcW w:type="dxa" w:w="1261"/>
            <w:tcBorders>
              <w:top w:val="nil"/>
              <w:bottom w:val="nil"/>
              <w:left w:val="nil"/>
              <w:right w:val="nil"/>
            </w:tcBorders>
          </w:tcPr>
          <w:p>
            <w:pPr>
              <w:spacing w:after="0"/>
            </w:pPr>
            <w:r/>
            <w:r>
              <w:rPr>
                <w:rFonts w:ascii="Arial" w:hAnsi="Arial"/>
                <w:b w:val="0"/>
                <w:i w:val="0"/>
                <w:sz w:val="15"/>
              </w:rPr>
              <w:t>283 / 327</w:t>
            </w:r>
          </w:p>
        </w:tc>
        <w:tc>
          <w:tcPr>
            <w:tcW w:type="dxa" w:w="1261"/>
            <w:tcBorders>
              <w:top w:val="nil"/>
              <w:bottom w:val="nil"/>
              <w:left w:val="nil"/>
              <w:right w:val="nil"/>
            </w:tcBorders>
          </w:tcPr>
          <w:p>
            <w:pPr>
              <w:spacing w:after="0"/>
            </w:pPr>
            <w:r/>
            <w:r>
              <w:rPr>
                <w:rFonts w:ascii="Arial" w:hAnsi="Arial"/>
                <w:b w:val="0"/>
                <w:i w:val="0"/>
                <w:sz w:val="15"/>
              </w:rPr>
              <w:t>91 / 132</w:t>
            </w:r>
          </w:p>
        </w:tc>
        <w:tc>
          <w:tcPr>
            <w:tcW w:type="dxa" w:w="1261"/>
            <w:tcBorders>
              <w:top w:val="nil"/>
              <w:bottom w:val="nil"/>
              <w:left w:val="nil"/>
              <w:right w:val="nil"/>
            </w:tcBorders>
          </w:tcPr>
          <w:p>
            <w:pPr>
              <w:spacing w:after="0"/>
            </w:pPr>
            <w:r/>
            <w:r>
              <w:rPr>
                <w:rFonts w:ascii="Arial" w:hAnsi="Arial"/>
                <w:b w:val="0"/>
                <w:i w:val="0"/>
                <w:sz w:val="15"/>
              </w:rPr>
              <w:t>0.132 / 0.195</w:t>
            </w:r>
          </w:p>
        </w:tc>
        <w:tc>
          <w:tcPr>
            <w:tcW w:type="dxa" w:w="1261"/>
            <w:tcBorders>
              <w:top w:val="nil"/>
              <w:bottom w:val="nil"/>
              <w:left w:val="nil"/>
              <w:right w:val="nil"/>
            </w:tcBorders>
          </w:tcPr>
          <w:p>
            <w:pPr>
              <w:spacing w:after="0"/>
            </w:pPr>
            <w:r/>
            <w:r>
              <w:rPr>
                <w:rFonts w:ascii="Arial" w:hAnsi="Arial"/>
                <w:b w:val="0"/>
                <w:i w:val="0"/>
                <w:sz w:val="15"/>
              </w:rPr>
              <w:t>57 / 78</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60 / 80</w:t>
            </w:r>
          </w:p>
        </w:tc>
      </w:tr>
      <w:tr>
        <w:tc>
          <w:tcPr>
            <w:tcW w:type="dxa" w:w="1261"/>
            <w:tcBorders>
              <w:top w:val="nil"/>
              <w:bottom w:val="nil"/>
              <w:left w:val="nil"/>
              <w:right w:val="nil"/>
            </w:tcBorders>
          </w:tcPr>
          <w:p>
            <w:pPr>
              <w:spacing w:after="0"/>
            </w:pPr>
            <w:r/>
            <w:r>
              <w:rPr>
                <w:rFonts w:ascii="Arial" w:hAnsi="Arial"/>
                <w:b w:val="0"/>
                <w:i w:val="0"/>
                <w:sz w:val="15"/>
              </w:rPr>
              <w:t xml:space="preserve">MGARD, </w:t>
            </w:r>
            <m:oMath>
              <m:r>
                <w:rPr>
                  <w:rFonts w:ascii="Cambria Math" w:hAnsi="Cambria Math" w:cs="Cambria Math" w:eastAsia="Cambria Math"/>
                  <w:sz w:val="15"/>
                  <w:szCs w:val="15"/>
                </w:rPr>
                <m:t xml:space="preserve">s</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2</m:t>
              </m:r>
            </m:oMath>
          </w:p>
        </w:tc>
        <w:tc>
          <w:tcPr>
            <w:tcW w:type="dxa" w:w="1261"/>
            <w:tcBorders>
              <w:top w:val="nil"/>
              <w:bottom w:val="nil"/>
              <w:left w:val="nil"/>
              <w:right w:val="nil"/>
            </w:tcBorders>
          </w:tcPr>
          <w:p>
            <w:pPr>
              <w:spacing w:after="0"/>
            </w:pPr>
            <w:r/>
            <w:r>
              <w:rPr>
                <w:rFonts w:ascii="Arial" w:hAnsi="Arial"/>
                <w:b w:val="0"/>
                <w:i w:val="0"/>
                <w:sz w:val="15"/>
              </w:rPr>
              <w:t>10.2 / 21.0</w:t>
            </w:r>
          </w:p>
        </w:tc>
        <w:tc>
          <w:tcPr>
            <w:tcW w:type="dxa" w:w="1261"/>
            <w:tcBorders>
              <w:top w:val="nil"/>
              <w:bottom w:val="nil"/>
              <w:left w:val="nil"/>
              <w:right w:val="nil"/>
            </w:tcBorders>
          </w:tcPr>
          <w:p>
            <w:pPr>
              <w:spacing w:after="0"/>
            </w:pPr>
            <w:r/>
            <w:r>
              <w:rPr>
                <w:rFonts w:ascii="Arial" w:hAnsi="Arial"/>
                <w:b w:val="0"/>
                <w:i w:val="0"/>
                <w:sz w:val="15"/>
              </w:rPr>
              <w:t>783 / 656</w:t>
            </w:r>
          </w:p>
        </w:tc>
        <w:tc>
          <w:tcPr>
            <w:tcW w:type="dxa" w:w="1261"/>
            <w:tcBorders>
              <w:top w:val="nil"/>
              <w:bottom w:val="nil"/>
              <w:left w:val="nil"/>
              <w:right w:val="nil"/>
            </w:tcBorders>
          </w:tcPr>
          <w:p>
            <w:pPr>
              <w:spacing w:after="0"/>
            </w:pPr>
            <w:r/>
            <w:r>
              <w:rPr>
                <w:rFonts w:ascii="Arial" w:hAnsi="Arial"/>
                <w:b w:val="0"/>
                <w:i w:val="0"/>
                <w:sz w:val="15"/>
              </w:rPr>
              <w:t>17.9 / 30.5</w:t>
            </w:r>
          </w:p>
        </w:tc>
        <w:tc>
          <w:tcPr>
            <w:tcW w:type="dxa" w:w="1261"/>
            <w:tcBorders>
              <w:top w:val="nil"/>
              <w:bottom w:val="nil"/>
              <w:left w:val="nil"/>
              <w:right w:val="nil"/>
            </w:tcBorders>
          </w:tcPr>
          <w:p>
            <w:pPr>
              <w:spacing w:after="0"/>
            </w:pPr>
            <w:r/>
            <w:r>
              <w:rPr>
                <w:rFonts w:ascii="Arial" w:hAnsi="Arial"/>
                <w:b w:val="0"/>
                <w:i w:val="0"/>
                <w:sz w:val="15"/>
              </w:rPr>
              <w:t>0.188 / 0.317</w:t>
            </w:r>
          </w:p>
        </w:tc>
        <w:tc>
          <w:tcPr>
            <w:tcW w:type="dxa" w:w="1261"/>
            <w:tcBorders>
              <w:top w:val="nil"/>
              <w:bottom w:val="nil"/>
              <w:left w:val="nil"/>
              <w:right w:val="nil"/>
            </w:tcBorders>
          </w:tcPr>
          <w:p>
            <w:pPr>
              <w:spacing w:after="0"/>
            </w:pPr>
            <w:r/>
            <w:r>
              <w:rPr>
                <w:rFonts w:ascii="Arial" w:hAnsi="Arial"/>
                <w:b w:val="0"/>
                <w:i w:val="0"/>
                <w:sz w:val="15"/>
              </w:rPr>
              <w:t>189 / 309</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194 / 315</w:t>
            </w:r>
          </w:p>
        </w:tc>
      </w:tr>
      <w:tr>
        <w:tc>
          <w:tcPr>
            <w:tcW w:type="dxa" w:w="1261"/>
            <w:tcBorders>
              <w:top w:val="nil"/>
              <w:bottom w:val="single" w:sz="6" w:color="1B1B1B"/>
              <w:left w:val="nil"/>
              <w:right w:val="nil"/>
            </w:tcBorders>
          </w:tcPr>
          <w:p>
            <w:pPr>
              <w:spacing w:after="0"/>
            </w:pPr>
            <w:r/>
            <w:r>
              <w:rPr>
                <w:rFonts w:ascii="Arial" w:hAnsi="Arial"/>
                <w:b w:val="0"/>
                <w:i w:val="0"/>
                <w:sz w:val="15"/>
              </w:rPr>
              <w:t>archived file</w:t>
            </w:r>
          </w:p>
        </w:tc>
        <w:tc>
          <w:tcPr>
            <w:tcW w:type="dxa" w:w="1261"/>
            <w:tcBorders>
              <w:top w:val="nil"/>
              <w:bottom w:val="single" w:sz="6" w:color="1B1B1B"/>
              <w:left w:val="nil"/>
              <w:right w:val="nil"/>
            </w:tcBorders>
          </w:tcPr>
          <w:p>
            <w:pPr>
              <w:spacing w:after="0"/>
            </w:pPr>
            <w:r/>
            <w:r>
              <w:rPr>
                <w:rFonts w:ascii="Arial" w:hAnsi="Arial"/>
                <w:b w:val="0"/>
                <w:i w:val="0"/>
                <w:sz w:val="15"/>
              </w:rPr>
              <w:t>0.55 / 0.44</w:t>
            </w:r>
          </w:p>
        </w:tc>
        <w:tc>
          <w:tcPr>
            <w:tcW w:type="dxa" w:w="1261"/>
            <w:tcBorders>
              <w:top w:val="nil"/>
              <w:bottom w:val="single" w:sz="6" w:color="1B1B1B"/>
              <w:left w:val="nil"/>
              <w:right w:val="nil"/>
            </w:tcBorders>
          </w:tcPr>
          <w:p>
            <w:pPr>
              <w:spacing w:after="0"/>
            </w:pPr>
            <w:r/>
            <w:r>
              <w:rPr>
                <w:rFonts w:ascii="Arial" w:hAnsi="Arial"/>
                <w:b w:val="0"/>
                <w:i w:val="0"/>
                <w:sz w:val="15"/>
              </w:rPr>
              <w:t>14,719 / 32,292</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609 / 295</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745 / 543</w:t>
            </w:r>
          </w:p>
        </w:tc>
      </w:tr>
    </w:tbl>
    <w:p>
      <w:pPr>
        <w:spacing w:after="40"/>
      </w:pPr>
    </w:p>
    <w:p>
      <w:pPr>
        <w:keepNext/>
        <w:spacing w:before="200" w:after="80"/>
      </w:pPr>
      <w:r>
        <w:rPr>
          <w:rFonts w:ascii="Arial" w:hAnsi="Arial"/>
          <w:b/>
          <w:i w:val="0"/>
          <w:sz w:val="20"/>
        </w:rPr>
        <w:t>The operator metric carries the gain, and the closed form needs no search</w:t>
      </w:r>
    </w:p>
    <w:p>
      <w:pPr>
        <w:spacing w:after="120"/>
        <w:jc w:val="both"/>
      </w:pPr>
      <w:r>
        <w:rPr>
          <w:rFonts w:ascii="Arial" w:hAnsi="Arial"/>
          <w:b w:val="0"/>
          <w:i w:val="0"/>
          <w:sz w:val="20"/>
        </w:rPr>
        <w:t xml:space="preserve">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with the Lagrange multiplier chosen only so that the same Hartree certificate holds.</w:t>
      </w:r>
    </w:p>
    <w:p>
      <w:pPr>
        <w:spacing w:after="120"/>
        <w:jc w:val="both"/>
      </w:pPr>
      <w:r>
        <w:rPr>
          <w:rFonts w:ascii="Arial" w:hAnsi="Arial"/>
          <w:b w:val="0"/>
          <w:i w:val="0"/>
          <w:sz w:val="20"/>
        </w:rPr>
        <w:t xml:space="preserve">The gain ladder separates three factors (Fig. 6a).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operator-blind transform allocation (A5) beat the best pointwise codec 5.6-fold (bulk) and 7.3-fold (slabs), the operator law (A1) added 1.89- and 2.66-fold, and operational allocation (A3)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Cohorts as in Fig. 5. </w:t>
      </w:r>
      <w:r>
        <w:rPr>
          <w:rFonts w:ascii="Arial" w:hAnsi="Arial"/>
          <w:b/>
          <w:i w:val="0"/>
          <w:sz w:val="16"/>
        </w:rPr>
        <w:t>a</w:t>
      </w:r>
      <w:r>
        <w:rPr>
          <w:rFonts w:ascii="Arial" w:hAnsi="Arial"/>
          <w:b w:val="0"/>
          <w:i w:val="0"/>
          <w:sz w:val="16"/>
        </w:rPr>
        <w:t xml:space="preserve">, Certified CR at a Hartree tolerance of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(thin lines) and median (bold) along the arms: best pointwise codec (A6), operator-blind rate–distortion optimum (A5), closed-form law (A1) and operational optimum in the operator metric (A3); labels give the median per-material ratio between rungs. </w:t>
      </w:r>
      <w:r>
        <w:rPr>
          <w:rFonts w:ascii="Arial" w:hAnsi="Arial"/>
          <w:b/>
          <w:i w:val="0"/>
          <w:sz w:val="16"/>
        </w:rPr>
        <w:t>b</w:t>
      </w:r>
      <w:r>
        <w:rPr>
          <w:rFonts w:ascii="Arial" w:hAnsi="Arial"/>
          <w:b w:val="0"/>
          <w:i w:val="0"/>
          <w:sz w:val="16"/>
        </w:rPr>
        <w:t xml:space="preserve">, A3/A5 per material at three tolerances. </w:t>
      </w:r>
      <w:r>
        <w:rPr>
          <w:rFonts w:ascii="Arial" w:hAnsi="Arial"/>
          <w:b/>
          <w:i w:val="0"/>
          <w:sz w:val="16"/>
        </w:rPr>
        <w:t>c</w:t>
      </w:r>
      <w:r>
        <w:rPr>
          <w:rFonts w:ascii="Arial" w:hAnsi="Arial"/>
          <w:b w:val="0"/>
          <w:i w:val="0"/>
          <w:sz w:val="16"/>
        </w:rPr>
        <w:t>, A3/A1 per material at three tolerances; dashed line, near-optimality threshold 1.15. Bars, medians; whiskers, bootstrap 95% CIs.</w:t>
      </w:r>
    </w:p>
    <w:p>
      <w:pPr>
        <w:spacing w:after="120"/>
        <w:jc w:val="both"/>
      </w:pPr>
      <w:r>
        <w:rPr>
          <w:rFonts w:ascii="Arial" w:hAnsi="Arial"/>
          <w:b w:val="0"/>
          <w:i w:val="0"/>
          <w:sz w:val="20"/>
        </w:rPr>
        <w:t xml:space="preserve">The metric carries the gain.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the optimum under the operator metric certified 2.12-fold more than the optimum under the blind metric on bulk crystals (95% CI 1.92–2.46; 60/60) and 3.43-fold more on slabs (2.89–4.08; 32/32) (Fig. 6b), and exceeded 1.3 at every tolerance (Supplementary Note 3).</w:t>
      </w:r>
    </w:p>
    <w:p>
      <w:pPr>
        <w:spacing w:after="120"/>
        <w:jc w:val="both"/>
      </w:pPr>
      <w:r>
        <w:rPr>
          <w:rFonts w:ascii="Arial" w:hAnsi="Arial"/>
          <w:b w:val="0"/>
          <w:i w:val="0"/>
          <w:sz w:val="20"/>
        </w:rPr>
        <w:t xml:space="preserve">The optimizer's share depends on the system class.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closed-form law was within 10.5% of the operational optimum on bulk crystals (95% CI of A3/A1 1.090–1.146), whereas on slabs operational allocation added 22% (1.138–1.359), above the declared near-optimality threshold of 1.15 (Fig. 6c). The share shrank at tighter tolerances, to 1.03 and 1.08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The share is a cost of the zlib container. In the water-filling writer (Methods), operational allocation on the writer's exact curves stored no less than the closed form: median ratio 0.999 (95% CI 0.997–1.001)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(bulk 0.998, slabs 1.001) and 0.979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(Supplementary Note 3). The closed form therefore needs no search at any tolerance, and operational allocation remains the encoder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 xml:space="preserve">A stored density usually serves more than one analysis. We fixed a joint contract and its acceptance criteria before any run (Methods):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on the final stream, and Henkelman Bader charges with an exact all-electron partition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for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Four base codecs competed: the operational Hartree encoder (R3, the A3 codec), the fixed-ladder law (J), spectral truncation (T1) and the best of ZFP, SZ3 and SPERR (GF). Each base received the same post-processors, including uniform per-basin projection, which restores each basin's charge with the additive correction of smallest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 xml:space="preserve">On 48 fresh bulk crystals, one stream from R3, certified for the Hartree potential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was also certified for Bader charges with zero basin reassignment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its joint compression ratio equalled its Hartree-only ratio (median overhead 1.000; Fig. 7d): certifying the charges added no stream bytes. It exceeded the best other base codec in 48/48 materials (median 1.317-fold, 95% CI 1.269–1.360; Fig. 7a,b). Every certified stream kept its maximum atomic-charge error at or below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(Supplementary Note 5).</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new bulk crystals (P2). Joint contract: Hartree relative error below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Henkelman Bader charges with an exact all-electron partition reference, error at most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and no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per material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coloured by that base. </w:t>
      </w:r>
      <w:r>
        <w:rPr>
          <w:rFonts w:ascii="Arial" w:hAnsi="Arial"/>
          <w:b/>
          <w:i w:val="0"/>
          <w:sz w:val="16"/>
        </w:rPr>
        <w:t>b</w:t>
      </w:r>
      <w:r>
        <w:rPr>
          <w:rFonts w:ascii="Arial" w:hAnsi="Arial"/>
          <w:b w:val="0"/>
          <w:i w:val="0"/>
          <w:sz w:val="16"/>
        </w:rPr>
        <w:t xml:space="preserve">, Joint CR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for each base codec at its best post-processor: R3, fixed-ladder law (J), spectral truncation (T1) and pointwise codecs (GF). </w:t>
      </w:r>
      <w:r>
        <w:rPr>
          <w:rFonts w:ascii="Arial" w:hAnsi="Arial"/>
          <w:b/>
          <w:i w:val="0"/>
          <w:sz w:val="16"/>
        </w:rPr>
        <w:t>c</w:t>
      </w:r>
      <w:r>
        <w:rPr>
          <w:rFonts w:ascii="Arial" w:hAnsi="Arial"/>
          <w:b w:val="0"/>
          <w:i w:val="0"/>
          <w:sz w:val="16"/>
        </w:rPr>
        <w:t xml:space="preserve">, Maximum atomic-charge error of the certified R3 stream per material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(red bars,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zero errors are drawn on the dashed floor. </w:t>
      </w:r>
      <w:r>
        <w:rPr>
          <w:rFonts w:ascii="Arial" w:hAnsi="Arial"/>
          <w:b/>
          <w:i w:val="0"/>
          <w:sz w:val="16"/>
        </w:rPr>
        <w:t>d</w:t>
      </w:r>
      <w:r>
        <w:rPr>
          <w:rFonts w:ascii="Arial" w:hAnsi="Arial"/>
          <w:b w:val="0"/>
          <w:i w:val="0"/>
          <w:sz w:val="16"/>
        </w:rPr>
        <w:t xml:space="preserve">, Joint overhead (Hartree-only over joint CR) of R3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with the number of certify-then-project decisions that applied a projection. </w:t>
      </w:r>
      <w:r>
        <w:rPr>
          <w:rFonts w:ascii="Arial" w:hAnsi="Arial"/>
          <w:b/>
          <w:i w:val="0"/>
          <w:sz w:val="16"/>
        </w:rPr>
        <w:t>e</w:t>
      </w:r>
      <w:r>
        <w:rPr>
          <w:rFonts w:ascii="Arial" w:hAnsi="Arial"/>
          <w:b w:val="0"/>
          <w:i w:val="0"/>
          <w:sz w:val="16"/>
        </w:rPr>
        <w:t xml:space="preserve">, Post-processor that gave each base its best joint stream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w:t>
      </w:r>
    </w:p>
    <w:p>
      <w:pPr>
        <w:spacing w:after="120"/>
        <w:jc w:val="both"/>
      </w:pPr>
      <w:r>
        <w:rPr>
          <w:rFonts w:ascii="Arial" w:hAnsi="Arial"/>
          <w:b w:val="0"/>
          <w:i w:val="0"/>
          <w:sz w:val="20"/>
        </w:rPr>
        <w:t xml:space="preserve">The Hartree certificate already carries the Bader charges under an exact partition. The unprojected stream was the best joint choice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and in 33/48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whereas the pointwise streams needed uniform projection in about two of every five materials (Fig. 7e); certify-then-project applied no projection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or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(Fig. 7d). Supplementary Note 6 compares the label map with a partition-faithful all-electron reference (Supplementary Fig. 3).</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 xml:space="preserve">Whether operator-aware coding is worth deploying depends on the operator. For five linear operators of the density (gradient, Laplacian, Hartree field, Hartree potential and Gaussian smoothing with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and the density itself as control, we compared operator-weighted allocation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operator-blind allocation (uniform steps) at equal operator error and recorded the measured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oMath>
      <w:r>
        <w:rPr>
          <w:rFonts w:ascii="Arial" w:hAnsi="Arial"/>
          <w:b w:val="0"/>
          <w:i w:val="0"/>
          <w:sz w:val="20"/>
        </w:rPr>
        <w:t xml:space="preserve"> as the ratio of their compressed sizes. Before any compression, we computed the predicted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oMath>
      <w:r>
        <w:rPr>
          <w:rFonts w:ascii="Arial" w:hAnsi="Arial"/>
          <w:b w:val="0"/>
          <w:i w:val="0"/>
          <w:sz w:val="20"/>
        </w:rPr>
        <w:t xml:space="preserve"> for every material and operator from the operator symbol and the material's reference spectrum alone, with a finite-rate entropy-coded quantization model (Methods).</w:t>
      </w:r>
    </w:p>
    <w:p>
      <w:pPr>
        <w:spacing w:after="120"/>
        <w:jc w:val="both"/>
      </w:pPr>
      <w:r>
        <w:rPr>
          <w:rFonts w:ascii="Arial" w:hAnsi="Arial"/>
          <w:b w:val="0"/>
          <w:i w:val="0"/>
          <w:sz w:val="20"/>
        </w:rPr>
        <w:t xml:space="preserve">The predictions tracked measurements across operators.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median absolute log error was 0.024 over 300 bulk pairs and 0.029 over 160 slab pairs, with Spearman rank correlations of 0.978 and 0.979 (Fig. 8a); 80% of pairs were predicted within 25%, every pair of operators was ordered as predicted, and the density control gave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Spearman correlations were 0.944 and 0.914 (Fig. 8b). Within each operator that gains, the predictor also ranked the materials (pooled Spearman 0.79–0.89;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w:t>
      </w:r>
      <m:oMath>
        <m:r>
          <w:rPr>
            <w:rFonts w:ascii="Cambria Math" w:hAnsi="Cambria Math" w:cs="Cambria Math" w:eastAsia="Cambria Math"/>
            <w:sz w:val="17"/>
            <w:szCs w:val="17"/>
          </w:rPr>
          <m:t xml:space="preserve">σ</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0.5</m:t>
        </m:r>
      </m:oMath>
      <w:r>
        <w:rPr>
          <w:rFonts w:ascii="Arial" w:hAnsi="Arial"/>
          <w:b w:val="0"/>
          <w:i w:val="0"/>
          <w:sz w:val="16"/>
        </w:rPr>
        <w:t xml:space="preserve"> Å) on 60 new bulk crystals (circles) and 32 new surface slabs (triangles); predictions were committed before any compression run. </w:t>
      </w:r>
      <w:r>
        <w:rPr>
          <w:rFonts w:ascii="Arial" w:hAnsi="Arial"/>
          <w:b/>
          <w:i w:val="0"/>
          <w:sz w:val="16"/>
        </w:rPr>
        <w:t>a</w:t>
      </w:r>
      <w:r>
        <w:rPr>
          <w:rFonts w:ascii="Arial" w:hAnsi="Arial"/>
          <w:b w:val="0"/>
          <w:i w:val="0"/>
          <w:sz w:val="16"/>
        </w:rPr>
        <w:t xml:space="preserve">, Predicted against measured gain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for 300 bulk and 160 slab material–operator pairs; line, identity; band, ±25%. </w:t>
      </w:r>
      <w:r>
        <w:rPr>
          <w:rFonts w:ascii="Arial" w:hAnsi="Arial"/>
          <w:b/>
          <w:i w:val="0"/>
          <w:sz w:val="16"/>
        </w:rPr>
        <w:t>b</w:t>
      </w:r>
      <w:r>
        <w:rPr>
          <w:rFonts w:ascii="Arial" w:hAnsi="Arial"/>
          <w:b w:val="0"/>
          <w:i w:val="0"/>
          <w:sz w:val="16"/>
        </w:rPr>
        <w:t xml:space="preserve">, The same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Per-operator medians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predicted (open) and measured (filled), ordered by predicted gain, with the density control and the null-gain band [0.90, 1.11] (shaded). </w:t>
      </w:r>
      <w:r>
        <w:rPr>
          <w:rFonts w:ascii="Arial" w:hAnsi="Arial"/>
          <w:b/>
          <w:i w:val="0"/>
          <w:sz w:val="16"/>
        </w:rPr>
        <w:t>d–f</w:t>
      </w:r>
      <w:r>
        <w:rPr>
          <w:rFonts w:ascii="Arial" w:hAnsi="Arial"/>
          <w:b w:val="0"/>
          <w:i w:val="0"/>
          <w:sz w:val="16"/>
        </w:rPr>
        <w:t xml:space="preserve">, Within-operator ranking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over the 92 materials for the Hartree field, the Hartree potential and Gaussian smoothing.</w:t>
      </w:r>
    </w:p>
    <w:p>
      <w:pPr>
        <w:spacing w:after="120"/>
        <w:jc w:val="both"/>
      </w:pPr>
      <w:r>
        <w:rPr>
          <w:rFonts w:ascii="Arial" w:hAnsi="Arial"/>
          <w:b w:val="0"/>
          <w:i w:val="0"/>
          <w:sz w:val="20"/>
        </w:rPr>
        <w:t>The operator symbol sets which operators gain (Fig. 8c): derivative operators less than 5%, the Hartree field about 15%, the Hartree potential 2.6–3.1-fold and Gaussian smoothing an order of magnitude, each as predicted (Supplementary Note 3). The predictor is the classical coding-gain construction³⁵,³⁶ evaluated with a physical weight and a finite-rate dead-zone model; compression-ratio prediction from data statistics is established separately.³⁷</w:t>
      </w:r>
    </w:p>
    <w:p>
      <w:pPr>
        <w:spacing w:after="120"/>
        <w:jc w:val="both"/>
      </w:pPr>
      <w:r>
        <w:rPr>
          <w:rFonts w:ascii="Arial" w:hAnsi="Arial"/>
          <w:b w:val="0"/>
          <w:i w:val="0"/>
          <w:sz w:val="20"/>
        </w:rPr>
        <w:t xml:space="preserve">The principle reaches a nonlinear QoI through its linearization. To first order, the error of the PBE³⁸ exchange-correlation energy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is the inner product of the density error with the potential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whose spectral weight falls across the innermost shells about as steeply as the Hartree weight. Shell steps set by that weight certified as much as the closed-form law on bulk crystals (median ratios 0.99–1.00; 0.93–0.96 on slabs). Under an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contract of 1 or 0.1 meV per atom, the law certified 5.4- and 6.9-fold more than the best pointwise codec on bulk crystals and 2.9- and 1.9-fold more on slabs (Supplementary Note 7). A Hartree certificate does not carry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on slabs (median error 3.9 meV per atom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so the energy needs its own contract.</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and a non-evaluable outcome is resolved by changing the contract, not the codec. Gain prediction decides, before compression, whether operator-aware coding is worth deploying. Once zeros are entropy-coded, the closed form is the encoder. Certification decides whether the decoded object meets every requested contract, and at archive scale the Hartree-certified store of complete objects is 555-fold smaller than the public one.</w:t>
      </w:r>
    </w:p>
    <w:p>
      <w:pPr>
        <w:spacing w:after="120"/>
        <w:jc w:val="both"/>
      </w:pPr>
      <w:r>
        <w:rPr>
          <w:rFonts w:ascii="Arial" w:hAnsi="Arial"/>
          <w:b w:val="0"/>
          <w:i w:val="0"/>
          <w:sz w:val="20"/>
        </w:rPr>
        <w:t>Two ideas carry these decisions. The first is that the measurement contract belongs to the quantity of interest. QoI-preserving compressors make a declared quantity faithful to its reference;⁸–¹⁷ the contract adds the algorithm that computes it and the role of each input, and these decide evaluability: changing only the role of the partition reference moved Bader eligibility from 3/50 to 50/50 materials, and changing only how basins are derived reversed the codec order in 109/185 materials at matched density error. The second is that the operator is the unit of design, for linear analyses and, through its linearization, for the exchange-correlation energy. Beyond task-based and weighted transform coding,²⁰–²³ the symbol of the downstream operator, read on each material's reciprocal lattice, explains a codec effect at matched distortion, fixes a closed-form allocation, forecasts its gain and defines the certificate. The operator metric, not the optimizer, carries the gain (2.12- and 3.43-fold at equal optimization). For the same reason, compressors that preserve local quantities stay 6.3- and 9.5-fold behind and Fourier correction of a pointwise stream more than 20-fold: the Hartree weight decides where error is placed across reciprocal space, which neither a block average nor a correction after pointwise coding reproduces.</w:t>
      </w:r>
    </w:p>
    <w:p>
      <w:pPr>
        <w:spacing w:after="120"/>
        <w:jc w:val="both"/>
      </w:pPr>
      <w:r>
        <w:rPr>
          <w:rFonts w:ascii="Arial" w:hAnsi="Arial"/>
          <w:b w:val="0"/>
          <w:i w:val="0"/>
          <w:sz w:val="20"/>
        </w:rPr>
        <w:t xml:space="preserve">Joint certification shows how contracts compose. Several QoIs have been controlled on one stream before.¹¹,¹²,¹⁵,¹⁷ Here one stream meets two linear constraints at opposite scales, a global elliptic-operator norm on the reciprocal lattice and charge sums over the fixed basins of a topologically defined partition, certified by the production Bader code. The Hartree certificate already carried the Bader charges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at no stream cost, and with its partition the stream is a self-contained archive 10.2-fold smaller than the pointwise alternative. Per-atom magnetic moments certified on the basins of the decoded density composed with the charge contract in 60/62 material–tolerance pairs (Supplementary Note 4).</w:t>
      </w:r>
    </w:p>
    <w:p>
      <w:pPr>
        <w:spacing w:after="120"/>
        <w:jc w:val="both"/>
      </w:pPr>
      <w:r>
        <w:rPr>
          <w:rFonts w:ascii="Arial" w:hAnsi="Arial"/>
          <w:b w:val="0"/>
          <w:i w:val="0"/>
          <w:sz w:val="20"/>
        </w:rPr>
        <w:t>These results change what an electronic-structure archive must ask of a stored density: not whether it can be compressed, but which analyses it must support. The operator of each analysis then says how to store the density, and its certificate says whether the stored form suffices, jointly for the Hartree potential and Bader charges on Materials Project bulk crystals under the exact-partition Bader contract.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 xml:space="preserve">QSQ perturbs only the approximate inputs of a contract </w:t>
      </w:r>
      <m:oMath>
        <m:r>
          <w:rPr>
            <w:rFonts w:ascii="Cambria Math" w:hAnsi="Cambria Math" w:cs="Cambria Math" w:eastAsia="Cambria Math"/>
            <w:sz w:val="20"/>
            <w:szCs w:val="20"/>
          </w:rPr>
          <m:t xml:space="preserve">C</m:t>
        </m:r>
      </m:oMath>
      <w:r>
        <w:rPr>
          <w:rFonts w:ascii="Arial" w:hAnsi="Arial"/>
          <w:b w:val="0"/>
          <w:i w:val="0"/>
          <w:sz w:val="20"/>
        </w:rPr>
        <w:t xml:space="preserve">. For an approximate density </w:t>
      </w:r>
      <m:oMath>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oMath>
      <w:r>
        <w:rPr>
          <w:rFonts w:ascii="Arial" w:hAnsi="Arial"/>
          <w:b w:val="0"/>
          <w:i w:val="0"/>
          <w:sz w:val="20"/>
        </w:rPr>
        <w:t xml:space="preserve">,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f</m:t>
        </m:r>
        <m:r>
          <m:rPr>
            <m:sty m:val="p"/>
          </m:rPr>
          <w:rPr>
            <w:rFonts w:ascii="Cambria Math" w:hAnsi="Cambria Math" w:cs="Cambria Math" w:eastAsia="Cambria Math"/>
            <w:sz w:val="20"/>
            <w:szCs w:val="20"/>
          </w:rPr>
          <m:t xml:space="preserve">l</m:t>
        </m:r>
        <m:r>
          <m:rPr>
            <m:sty m:val="p"/>
          </m:rPr>
          <w:rPr>
            <w:rFonts w:ascii="Cambria Math" w:hAnsi="Cambria Math" w:cs="Cambria Math" w:eastAsia="Cambria Math"/>
            <w:sz w:val="20"/>
            <w:szCs w:val="20"/>
          </w:rPr>
          <m:t xml:space="preserve">o</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five fixed-seed perturbations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oMath>
      <w:r>
        <w:rPr>
          <w:rFonts w:ascii="Arial" w:hAnsi="Arial"/>
          <w:b w:val="0"/>
          <w:i w:val="0"/>
          <w:sz w:val="20"/>
        </w:rPr>
        <w:t xml:space="preserve"> (seeds 20260905, 1, 2, 3, 4) are applied. The floor is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max</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r</m:t>
            </m:r>
          </m:e>
          <m:sub>
            <m: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sub>
        </m:sSub>
      </m:oMath>
      <w:r>
        <w:rPr>
          <w:rFonts w:ascii="Arial" w:hAnsi="Arial"/>
          <w:b w:val="0"/>
          <w:i w:val="0"/>
          <w:sz w:val="20"/>
        </w:rPr>
        <w:t>, the largest response over the five probes (for Bader charge, the maximum absolute per-atom charge change with re-derived basins), and</w:t>
      </w:r>
    </w:p>
    <w:p>
      <w:pPr>
        <w:spacing w:before="60" w:after="120"/>
      </w:pPr>
      <m:oMathPara>
        <m:oMathParaPr>
          <m:jc m:val="center"/>
        </m:oMathParaPr>
        <m:oMath>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f</m:t>
              </m:r>
            </m:e>
            <m:sub>
              <m:r>
                <w:rPr>
                  <w:rFonts w:ascii="Cambria Math" w:hAnsi="Cambria Math" w:cs="Cambria Math" w:eastAsia="Cambria Math"/>
                  <w:sz w:val="21"/>
                  <w:szCs w:val="21"/>
                </w:rPr>
                <m:t xml:space="preserve">C</m:t>
              </m:r>
            </m:sub>
          </m:sSub>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 </m:t>
          </m:r>
          <m:r>
            <m:rPr>
              <m:sty m:val="p"/>
            </m:rPr>
            <w:rPr>
              <w:rFonts w:ascii="Cambria Math" w:hAnsi="Cambria Math" w:cs="Cambria Math" w:eastAsia="Cambria Math"/>
              <w:sz w:val="21"/>
              <w:szCs w:val="21"/>
            </w:rPr>
            <m:t xml:space="preserve">certified</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Q</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An ineligible pair is non-evaluable; an eligible pair with no certified reconstruction is not certified. For a given material, the five probes and every fresh perturbation are independent draws of the same uniform perturbation, so with exceedance probability </w:t>
      </w:r>
      <m:oMath>
        <m:r>
          <w:rPr>
            <w:rFonts w:ascii="Cambria Math" w:hAnsi="Cambria Math" w:cs="Cambria Math" w:eastAsia="Cambria Math"/>
            <w:sz w:val="20"/>
            <w:szCs w:val="20"/>
          </w:rPr>
          <m:t xml:space="preserve">p</m:t>
        </m:r>
      </m:oMath>
      <w:r>
        <w:rPr>
          <w:rFonts w:ascii="Arial" w:hAnsi="Arial"/>
          <w:b w:val="0"/>
          <w:i w:val="0"/>
          <w:sz w:val="20"/>
        </w:rPr>
        <w:t xml:space="preserve"> the probability of </w:t>
      </w:r>
      <m:oMath>
        <m:r>
          <w:rPr>
            <w:rFonts w:ascii="Cambria Math" w:hAnsi="Cambria Math" w:cs="Cambria Math" w:eastAsia="Cambria Math"/>
            <w:sz w:val="20"/>
            <w:szCs w:val="20"/>
          </w:rPr>
          <m:t xml:space="preserve">n</m:t>
        </m:r>
      </m:oMath>
      <w:r>
        <w:rPr>
          <w:rFonts w:ascii="Arial" w:hAnsi="Arial"/>
          <w:b w:val="0"/>
          <w:i w:val="0"/>
          <w:sz w:val="20"/>
        </w:rPr>
        <w:t xml:space="preserve"> non-exceedances followed by one exceedance is </w:t>
      </w:r>
      <m:oMath>
        <m: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p</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the one-sided tolerance-limit argument;³⁹ the proof and the role of independence are in Supplementary Note 1. The all-electron Bader contract used Henkelman Bader 1.05 (-b ongrid -vac 0.001), CHGCAR integrated over the exact </w:t>
      </w:r>
      <m:oMath>
        <m:sSub>
          <m:e>
            <m:r>
              <w:rPr>
                <w:rFonts w:ascii="Cambria Math" w:hAnsi="Cambria Math" w:cs="Cambria Math" w:eastAsia="Cambria Math"/>
                <w:sz w:val="20"/>
                <w:szCs w:val="20"/>
              </w:rPr>
              <m:t xml:space="preserve">ρ</m:t>
            </m:r>
          </m:e>
          <m:sub>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2</m:t>
        </m:r>
      </m:oMath>
      <w:r>
        <w:rPr>
          <w:rFonts w:ascii="Arial" w:hAnsi="Arial"/>
          <w:b w:val="0"/>
          <w:i w:val="0"/>
          <w:sz w:val="20"/>
        </w:rPr>
        <w:t xml:space="preserve"> partition. For the codec-order comparison, each material contributed at most one SZ3/SPERR pair, the one with the smallest summed absolute log mismatch.</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 xml:space="preserve">Densities are transformed with an orthonormal FFT. Reciprocal indices are partitioned into Hermitian orbits under </w:t>
      </w:r>
      <m:oMath>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mod</m:t>
        </m:r>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oMath>
      <w:r>
        <w:rPr>
          <w:rFonts w:ascii="Arial" w:hAnsi="Arial"/>
          <w:b w:val="0"/>
          <w:i w:val="0"/>
          <w:sz w:val="20"/>
        </w:rPr>
        <w:t xml:space="preserve">, one representative coefficient is stored per orbit, and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is the only coefficient stored exactly. On even grids, a Nyquist coordinate is alias-equivalent to </w:t>
      </w:r>
      <m:oMath>
        <m: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for every such mode the alias choices are enumerated and the minimum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Sup>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up>
            <m:r>
              <m:rPr>
                <m:sty m:val="p"/>
              </m:rPr>
              <w:rPr>
                <w:rFonts w:ascii="Cambria Math" w:hAnsi="Cambria Math" w:cs="Cambria Math" w:eastAsia="Cambria Math"/>
                <w:sz w:val="20"/>
                <w:szCs w:val="20"/>
              </w:rPr>
              <m:t xml:space="preserve">2</m:t>
            </m:r>
          </m:sup>
        </m:sSubSup>
      </m:oMath>
      <w:r>
        <w:rPr>
          <w:rFonts w:ascii="Arial" w:hAnsi="Arial"/>
          <w:b w:val="0"/>
          <w:i w:val="0"/>
          <w:sz w:val="20"/>
        </w:rPr>
        <w:t xml:space="preserve"> is used, so no mode receives a looser step from a sign convention. A policy assigns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oMath>
      <w:r>
        <w:rPr>
          <w:rFonts w:ascii="Arial" w:hAnsi="Arial"/>
          <w:b w:val="0"/>
          <w:i w:val="0"/>
          <w:sz w:val="20"/>
        </w:rPr>
        <w:t xml:space="preserve">; for the closed-form law </w:t>
      </w:r>
      <m:oMath>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normalized at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giving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for the Hartree potential. Real and imaginary parts are rounded to integers, grouped into 32 radial shells with the smallest sufficient signed integer type, and compressed with zlib level 6. Compression ratio is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divided by the complete stream bytes, headers included. Every stream is decoded and certified when the Hartree relative root-mean-square error is below </w:t>
      </w:r>
      <m:oMath>
        <m:r>
          <w:rPr>
            <w:rFonts w:ascii="Cambria Math" w:hAnsi="Cambria Math" w:cs="Cambria Math" w:eastAsia="Cambria Math"/>
            <w:sz w:val="20"/>
            <w:szCs w:val="20"/>
          </w:rPr>
          <m:t xml:space="preserve">τ</m:t>
        </m:r>
      </m:oMath>
      <w:r>
        <w:rPr>
          <w:rFonts w:ascii="Arial" w:hAnsi="Arial"/>
          <w:b w:val="0"/>
          <w:i w:val="0"/>
          <w:sz w:val="20"/>
        </w:rPr>
        <w:t xml:space="preserve"> under both the historical operator (</w:t>
      </w:r>
      <m:oMath>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set to zero) and the Nyquist-safe operator (even-grid Nyquist planes also removed), for which</w:t>
      </w:r>
    </w:p>
    <w:p>
      <w:pPr>
        <w:spacing w:before="60" w:after="120"/>
      </w:pPr>
      <m:oMathPara>
        <m:oMathParaPr>
          <m:jc m:val="center"/>
        </m:oMathParaPr>
        <m:oMath>
          <m:r>
            <m:rPr>
              <m:sty m:val="p"/>
            </m:rP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m:t>
          </m:r>
          <m:r>
            <m:rPr>
              <m:sty m:val="p"/>
            </m:rPr>
            <w:rPr>
              <w:rFonts w:ascii="Cambria Math" w:hAnsi="Cambria Math" w:cs="Cambria Math" w:eastAsia="Cambria Math"/>
              <w:sz w:val="21"/>
              <w:szCs w:val="21"/>
            </w:rPr>
            <m:t xml:space="preserve">S</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sSub>
            <m:e>
              <m:r>
                <w:rPr>
                  <w:rFonts w:ascii="Cambria Math" w:hAnsi="Cambria Math" w:cs="Cambria Math" w:eastAsia="Cambria Math"/>
                  <w:sz w:val="21"/>
                  <w:szCs w:val="21"/>
                </w:rPr>
                <m:t xml:space="preserve">V</m:t>
              </m:r>
            </m:e>
            <m:sub>
              <m:r>
                <w:rPr>
                  <w:rFonts w:ascii="Cambria Math" w:hAnsi="Cambria Math" w:cs="Cambria Math" w:eastAsia="Cambria Math"/>
                  <w:sz w:val="21"/>
                  <w:szCs w:val="21"/>
                </w:rPr>
                <m:t xml:space="preserve">H</m:t>
              </m:r>
            </m:sub>
          </m:sSub>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4</m:t>
              </m:r>
              <m:r>
                <w:rPr>
                  <w:rFonts w:ascii="Cambria Math" w:hAnsi="Cambria Math" w:cs="Cambria Math" w:eastAsia="Cambria Math"/>
                  <w:sz w:val="21"/>
                  <w:szCs w:val="21"/>
                </w:rPr>
                <m:t xml:space="preserve">π</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sSup>
                <m:e>
                  <m:r>
                    <w:rPr>
                      <w:rFonts w:ascii="Cambria Math" w:hAnsi="Cambria Math" w:cs="Cambria Math" w:eastAsia="Cambria Math"/>
                      <w:sz w:val="21"/>
                      <w:szCs w:val="21"/>
                    </w:rPr>
                    <m:t xml:space="preserve">N</m:t>
                  </m:r>
                </m:e>
                <m:sup>
                  <m:r>
                    <m:rPr>
                      <m:sty m:val="p"/>
                    </m:rPr>
                    <w:rPr>
                      <w:rFonts w:ascii="Cambria Math" w:hAnsi="Cambria Math" w:cs="Cambria Math" w:eastAsia="Cambria Math"/>
                      <w:sz w:val="21"/>
                      <w:szCs w:val="21"/>
                    </w:rPr>
                    <m:t xml:space="preserve">2</m:t>
                  </m:r>
                </m:sup>
              </m:sSup>
            </m:den>
          </m:f>
          <m:sSub>
            <m:e>
              <m:r>
                <m:rPr>
                  <m:sty m:val="p"/>
                </m:rPr>
                <w:rPr>
                  <w:rFonts w:ascii="Cambria Math" w:hAnsi="Cambria Math" w:cs="Cambria Math" w:eastAsia="Cambria Math"/>
                  <w:sz w:val="21"/>
                  <w:szCs w:val="21"/>
                </w:rPr>
                <m:t xml:space="preserve">∑</m:t>
              </m:r>
            </m:e>
            <m:sub>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G</m:t>
                  </m:r>
                </m:e>
                <m:sub>
                  <m:r>
                    <w:rPr>
                      <w:rFonts w:ascii="Cambria Math" w:hAnsi="Cambria Math" w:cs="Cambria Math" w:eastAsia="Cambria Math"/>
                      <w:sz w:val="21"/>
                      <w:szCs w:val="21"/>
                    </w:rPr>
                    <m:t xml:space="preserve">s</m:t>
                  </m:r>
                </m:sub>
              </m:sSub>
            </m:sub>
          </m:sSub>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ρ</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4</m:t>
                  </m:r>
                </m:sup>
              </m:sSup>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spectral audit, ZFP and SZ3 reconstructions were matched within material on </w:t>
      </w:r>
      <m:oMath>
        <m:sSub>
          <m:e>
            <m:r>
              <m:rPr>
                <m:sty m:val="p"/>
              </m:rPr>
              <w:rPr>
                <w:rFonts w:ascii="Cambria Math" w:hAnsi="Cambria Math" w:cs="Cambria Math" w:eastAsia="Cambria Math"/>
                <w:sz w:val="20"/>
                <w:szCs w:val="20"/>
              </w:rPr>
              <m:t xml:space="preserve">log</m:t>
            </m:r>
          </m:e>
          <m:sub>
            <m:r>
              <m:rPr>
                <m:sty m:val="p"/>
              </m:rPr>
              <w:rPr>
                <w:rFonts w:ascii="Cambria Math" w:hAnsi="Cambria Math" w:cs="Cambria Math" w:eastAsia="Cambria Math"/>
                <w:sz w:val="20"/>
                <w:szCs w:val="20"/>
              </w:rPr>
              <m:t xml:space="preserve">10</m:t>
            </m:r>
          </m:sub>
        </m:sSub>
      </m:oMath>
      <w:r>
        <w:rPr>
          <w:rFonts w:ascii="Arial" w:hAnsi="Arial"/>
          <w:b w:val="0"/>
          <w:i w:val="0"/>
          <w:sz w:val="20"/>
        </w:rPr>
        <w:t xml:space="preserve">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(Supplementary Note 2); material-level centres are within-material medians on the log scale.</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 xml:space="preserve">A1: closed-form law,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A2: spectral truncation at cutoff </w:t>
      </w:r>
      <m:oMath>
        <m:sSub>
          <m:e>
            <m:r>
              <w:rPr>
                <w:rFonts w:ascii="Cambria Math" w:hAnsi="Cambria Math" w:cs="Cambria Math" w:eastAsia="Cambria Math"/>
                <w:sz w:val="20"/>
                <w:szCs w:val="20"/>
              </w:rPr>
              <m:t xml:space="preserve">q</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oMath>
      <w:r>
        <w:rPr>
          <w:rFonts w:ascii="Arial" w:hAnsi="Arial"/>
          <w:b w:val="0"/>
          <w:i w:val="0"/>
          <w:sz w:val="20"/>
        </w:rPr>
        <w:t xml:space="preserve">, bisection per cutoff, best cutoff. A3: operational optimum,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s</m:t>
            </m:r>
          </m:sub>
        </m:sSub>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k</m:t>
            </m:r>
          </m:sub>
        </m:sSub>
      </m:oMath>
      <w:r>
        <w:rPr>
          <w:rFonts w:ascii="Arial" w:hAnsi="Arial"/>
          <w:b w:val="0"/>
          <w:i w:val="0"/>
          <w:sz w:val="20"/>
        </w:rPr>
        <w:t xml:space="preserve"> with a per-shell multiplier from a </w:t>
      </w:r>
      <m:oMath>
        <m:sSup>
          <m:e>
            <m:r>
              <m:rPr>
                <m:sty m:val="p"/>
              </m:rPr>
              <w:rPr>
                <w:rFonts w:ascii="Cambria Math" w:hAnsi="Cambria Math" w:cs="Cambria Math" w:eastAsia="Cambria Math"/>
                <w:sz w:val="20"/>
                <w:szCs w:val="20"/>
              </w:rPr>
              <m:t xml:space="preserve">2</m:t>
            </m:r>
          </m:e>
          <m:sup>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ladder or the shell dropped, selected by bisection on the Lagrange multiplier over each shell's exact (zlib bytes, operator distortion) curve plus a feasibility-preserving greedy polish, under both Hartree certificates with margin 0.995. A5: the same machinery with a flat prior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primary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 xml:space="preserve">All baselines used the A1/A6 search and the decoded Hartree certificate; the A arms are the recorded law-run values. MGARD⁸ ran with smoothness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best of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r>
          <m:rPr>
            <m:sty m:val="p"/>
          </m:rPr>
          <w:rPr>
            <w:rFonts w:ascii="Cambria Math" w:hAnsi="Cambria Math" w:cs="Cambria Math" w:eastAsia="Cambria Math"/>
            <w:sz w:val="20"/>
            <w:szCs w:val="20"/>
          </w:rPr>
          <m:t xml:space="preserve">}</m:t>
        </m:r>
      </m:oMath>
      <w:r>
        <w:rPr>
          <w:rFonts w:ascii="Arial" w:hAnsi="Arial"/>
          <w:b w:val="0"/>
          <w:i w:val="0"/>
          <w:sz w:val="20"/>
        </w:rPr>
        <w:t xml:space="preserve"> is in Supplementary Note 3), QPET¹⁰ bounded the block average of the density over </w:t>
      </w:r>
      <m:oMath>
        <m:sSup>
          <m:e>
            <m:r>
              <w:rPr>
                <w:rFonts w:ascii="Cambria Math" w:hAnsi="Cambria Math" w:cs="Cambria Math" w:eastAsia="Cambria Math"/>
                <w:sz w:val="20"/>
                <w:szCs w:val="20"/>
              </w:rPr>
              <m:t xml:space="preserve">b</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blocks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16</m:t>
        </m:r>
      </m:oMath>
      <w:r>
        <w:rPr>
          <w:rFonts w:ascii="Arial" w:hAnsi="Arial"/>
          <w:b w:val="0"/>
          <w:i w:val="0"/>
          <w:sz w:val="20"/>
        </w:rPr>
        <w:t xml:space="preserve">) on SZ3, HPEZ and SPERR hosts with its QoI bound as the searched parameter, and FFCz¹⁶ corrected ZFP, SZ3 and SPERR reconstructions in 18 configurations; the best configuration of each is reported. For each slab the vacuum window comes from the reference density alone, and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is the window mean of the planar-averaged error of </w:t>
      </w:r>
      <m:oMath>
        <m:sSub>
          <m:e>
            <m:r>
              <w:rPr>
                <w:rFonts w:ascii="Cambria Math" w:hAnsi="Cambria Math" w:cs="Cambria Math" w:eastAsia="Cambria Math"/>
                <w:sz w:val="20"/>
                <w:szCs w:val="20"/>
              </w:rPr>
              <m:t xml:space="preserve">V</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14.399645</m:t>
        </m:r>
      </m:oMath>
      <w:r>
        <w:rPr>
          <w:rFonts w:ascii="Arial" w:hAnsi="Arial"/>
          <w:b w:val="0"/>
          <w:i w:val="0"/>
          <w:sz w:val="20"/>
        </w:rPr>
        <w:t xml:space="preserve"> eV Å: the change in the electrostatic vacuum level and, with the stored Fermi energy and the exact ionic potential, in the work function (Supplementary Note 3).</w:t>
      </w:r>
    </w:p>
    <w:p>
      <w:pPr>
        <w:keepNext/>
        <w:spacing w:before="200" w:after="80"/>
      </w:pPr>
      <w:r>
        <w:rPr>
          <w:rFonts w:ascii="Arial" w:hAnsi="Arial"/>
          <w:b/>
          <w:i w:val="0"/>
          <w:sz w:val="20"/>
        </w:rPr>
        <w:t>Deployment cost</w:t>
      </w:r>
    </w:p>
    <w:p>
      <w:pPr>
        <w:spacing w:after="120"/>
        <w:jc w:val="both"/>
      </w:pPr>
      <w:r>
        <w:rPr>
          <w:rFonts w:ascii="Arial" w:hAnsi="Arial"/>
          <w:b w:val="0"/>
          <w:i w:val="0"/>
          <w:sz w:val="20"/>
        </w:rPr>
        <w:t>Under a protocol fixed before the run (Table 1), every certified point of A1, A3, A6, MGARD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and QPET was regenerated, decoded and recertified, single-threaded, one runner per material. A streaming decoder reads law and operational streams 2.6-fold faster than the reference implementation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 xml:space="preserve">The frame is every chgcars/mp-&lt;n&gt;.json.gz object of the open Materials Project bucket listed on 2026-09-30, minus the development set (415,289 objects, 8.4976 TB); 300 objects were drawn by hash rank within stored-size strata (Supplementary Note 4). Per object, QSQ ran with the five probes, the certifying writer searched the ZFP, SZ3 and SPERR ladders, and stored bytes followed the storage rule fixed with the sample; failed objects keep their stored size. Stratified expansion estimators give the reduction factor </w:t>
      </w:r>
      <m:oMath>
        <m: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oMath>
      <w:r>
        <w:rPr>
          <w:rFonts w:ascii="Arial" w:hAnsi="Arial"/>
          <w:b w:val="0"/>
          <w:i w:val="0"/>
          <w:sz w:val="20"/>
        </w:rPr>
        <w:t xml:space="preserve"> with stratified bootstrap intervals (2,000 resamples, seed 20260930). The Hartree archive applied the same design to A1, A2, A3, A6 and the water-filling writer, with the decoded Hartree certificate and QSQ on the Hartree response (seed 20261012). Total and magnetization densities are both counted: per-atom magnetic moments are certified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μ</m:t>
            </m:r>
          </m:e>
          <m:sub>
            <m:r>
              <m:rPr>
                <m:sty m:val="p"/>
              </m:rPr>
              <w:rPr>
                <w:rFonts w:ascii="Cambria Math" w:hAnsi="Cambria Math" w:cs="Cambria Math" w:eastAsia="Cambria Math"/>
                <w:sz w:val="20"/>
                <w:szCs w:val="20"/>
              </w:rPr>
              <m:t xml:space="preserve">B</m:t>
            </m:r>
          </m:sub>
        </m:sSub>
      </m:oMath>
      <w:r>
        <w:rPr>
          <w:rFonts w:ascii="Arial" w:hAnsi="Arial"/>
          <w:b w:val="0"/>
          <w:i w:val="0"/>
          <w:sz w:val="20"/>
        </w:rPr>
        <w:t xml:space="preserve"> on the Bader partition of the decoded total density, with a lossless atom-label map where that fails (Supplementary Note 4).</w:t>
      </w:r>
    </w:p>
    <w:p>
      <w:pPr>
        <w:keepNext/>
        <w:spacing w:before="200" w:after="80"/>
      </w:pPr>
      <w:r>
        <w:rPr>
          <w:rFonts w:ascii="Arial" w:hAnsi="Arial"/>
          <w:b/>
          <w:i w:val="0"/>
          <w:sz w:val="20"/>
        </w:rPr>
        <w:t>Exchange-correlation contract</w:t>
      </w:r>
    </w:p>
    <w:p>
      <w:pPr>
        <w:spacing w:after="120"/>
        <w:jc w:val="both"/>
      </w:pPr>
      <m:oMath>
        <m:sSubSup>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up>
            <m:r>
              <m:rPr>
                <m:sty m:val="p"/>
              </m:rPr>
              <w:rPr>
                <w:rFonts w:ascii="Cambria Math" w:hAnsi="Cambria Math" w:cs="Cambria Math" w:eastAsia="Cambria Math"/>
                <w:sz w:val="20"/>
                <w:szCs w:val="20"/>
              </w:rPr>
              <m:t xml:space="preserve">PBE</m:t>
            </m:r>
          </m:sup>
        </m:sSubSup>
      </m:oMath>
      <w:r>
        <w:rPr>
          <w:rFonts w:ascii="Arial" w:hAnsi="Arial"/>
          <w:b w:val="0"/>
          <w:i w:val="0"/>
          <w:sz w:val="20"/>
        </w:rPr>
        <w:t xml:space="preserve"> of the stored total density is evaluated on its own grid with Fourier gradients. The contract is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&lt;</m:t>
        </m:r>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oMath>
      <w:r>
        <w:rPr>
          <w:rFonts w:ascii="Arial" w:hAnsi="Arial"/>
          <w:b w:val="0"/>
          <w:i w:val="0"/>
          <w:sz w:val="20"/>
        </w:rPr>
        <w:t xml:space="preserve"> per atom,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0.1</m:t>
        </m:r>
        <m:r>
          <m:rPr>
            <m:sty m:val="p"/>
          </m:rPr>
          <w:rPr>
            <w:rFonts w:ascii="Cambria Math" w:hAnsi="Cambria Math" w:cs="Cambria Math" w:eastAsia="Cambria Math"/>
            <w:sz w:val="20"/>
            <w:szCs w:val="20"/>
          </w:rPr>
          <m:t xml:space="preserve">}</m:t>
        </m:r>
      </m:oMath>
      <w:r>
        <w:rPr>
          <w:rFonts w:ascii="Arial" w:hAnsi="Arial"/>
          <w:b w:val="0"/>
          <w:i w:val="0"/>
          <w:sz w:val="20"/>
        </w:rPr>
        <w:t xml:space="preserve"> meV, with QSQ on the same response and the 60-step bisection with the decoded energy as predicate. The linearized allocation steps shell </w:t>
      </w:r>
      <m:oMath>
        <m:r>
          <w:rPr>
            <w:rFonts w:ascii="Cambria Math" w:hAnsi="Cambria Math" w:cs="Cambria Math" w:eastAsia="Cambria Math"/>
            <w:sz w:val="20"/>
            <w:szCs w:val="20"/>
          </w:rPr>
          <m:t xml:space="preserve">s</m:t>
        </m:r>
      </m:oMath>
      <w:r>
        <w:rPr>
          <w:rFonts w:ascii="Arial" w:hAnsi="Arial"/>
          <w:b w:val="0"/>
          <w:i w:val="0"/>
          <w:sz w:val="20"/>
        </w:rPr>
        <w:t xml:space="preserve"> by </w:t>
      </w:r>
      <m:oMath>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m:rPr>
                <m:sty m:val="p"/>
              </m:rPr>
              <w:rPr>
                <w:rFonts w:ascii="Cambria Math" w:hAnsi="Cambria Math" w:cs="Cambria Math" w:eastAsia="Cambria Math"/>
                <w:sz w:val="20"/>
                <w:szCs w:val="20"/>
              </w:rPr>
              <m:t xml:space="preserve">max</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oMath>
      <w:r>
        <w:rPr>
          <w:rFonts w:ascii="Arial" w:hAnsi="Arial"/>
          <w:b w:val="0"/>
          <w:i w:val="0"/>
          <w:sz w:val="20"/>
        </w:rPr>
        <w:t xml:space="preserve"> the shell mean of </w:t>
      </w:r>
      <m:oMath>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the exact derivative of the discrete energy; flat shell steps in the same container are its control (Supplementary Note 7).</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 xml:space="preserve">Fig. 4 uses one development density (KCN, mp-676693, </w:t>
      </w:r>
      <m:oMath>
        <m:r>
          <m:rPr>
            <m:sty m:val="p"/>
          </m:rPr>
          <w:rPr>
            <w:rFonts w:ascii="Cambria Math" w:hAnsi="Cambria Math" w:cs="Cambria Math" w:eastAsia="Cambria Math"/>
            <w:sz w:val="20"/>
            <w:szCs w:val="20"/>
          </w:rPr>
          <m:t xml:space="preserve">84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108</m:t>
        </m:r>
      </m:oMath>
      <w:r>
        <w:rPr>
          <w:rFonts w:ascii="Arial" w:hAnsi="Arial"/>
          <w:b w:val="0"/>
          <w:i w:val="0"/>
          <w:sz w:val="20"/>
        </w:rPr>
        <w:t xml:space="preserve"> grid) and the codecs of the arms: the law codec with continuous </w:t>
      </w:r>
      <m:oMath>
        <m:r>
          <w:rPr>
            <w:rFonts w:ascii="Cambria Math" w:hAnsi="Cambria Math" w:cs="Cambria Math" w:eastAsia="Cambria Math"/>
            <w:sz w:val="20"/>
            <w:szCs w:val="20"/>
          </w:rPr>
          <m:t xml:space="preserve">α</m:t>
        </m:r>
      </m:oMath>
      <w:r>
        <w:rPr>
          <w:rFonts w:ascii="Arial" w:hAnsi="Arial"/>
          <w:b w:val="0"/>
          <w:i w:val="0"/>
          <w:sz w:val="20"/>
        </w:rPr>
        <w:t xml:space="preserve">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as A1), the same codec with uniform steps (the operator-blind arm of the gain test), the truncation codec at each of the 32 cutoffs, and ZFP, SZ3 and SPERR by absolute tolerance. Certified points use the bisection of the arms above, with decode back-off. Radial statistics use 48 equal bins 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the decoded error energy per mode is weighted by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w:t>
      </w:r>
    </w:p>
    <w:p>
      <w:pPr>
        <w:keepNext/>
        <w:spacing w:before="200" w:after="80"/>
      </w:pPr>
      <w:r>
        <w:rPr>
          <w:rFonts w:ascii="Arial" w:hAnsi="Arial"/>
          <w:b/>
          <w:i w:val="0"/>
          <w:sz w:val="20"/>
        </w:rPr>
        <w:t>Gain predictor</w:t>
      </w:r>
    </w:p>
    <w:p>
      <w:pPr>
        <w:spacing w:after="120"/>
        <w:jc w:val="both"/>
      </w:pPr>
      <w:r>
        <w:rPr>
          <w:rFonts w:ascii="Arial" w:hAnsi="Arial"/>
          <w:b w:val="0"/>
          <w:i w:val="0"/>
          <w:sz w:val="20"/>
        </w:rPr>
        <w:t xml:space="preserve">Part B used six operators with squared weights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(density),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(gradient),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(Laplacian),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(Hartree field),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(Hartree potential) and </w:t>
      </w:r>
      <m:oMath>
        <m:r>
          <m:rPr>
            <m:sty m:val="p"/>
          </m:rPr>
          <w:rPr>
            <w:rFonts w:ascii="Cambria Math" w:hAnsi="Cambria Math" w:cs="Cambria Math" w:eastAsia="Cambria Math"/>
            <w:sz w:val="20"/>
            <w:szCs w:val="20"/>
          </w:rPr>
          <m:t xml:space="preserve">exp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σ</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(Gaussian smoothing). The operator-weighted arm used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the blind arm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each used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on the Nyquist-safe relative error in that operator's metric (margin 0.995), every stream was decode-verified,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blind</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opt</m:t>
            </m:r>
          </m:sub>
        </m:sSub>
      </m:oMath>
      <w:r>
        <w:rPr>
          <w:rFonts w:ascii="Arial" w:hAnsi="Arial"/>
          <w:b w:val="0"/>
          <w:i w:val="0"/>
          <w:sz w:val="20"/>
        </w:rPr>
        <w:t xml:space="preserve">. The predictor models each real coefficient component as a zero-mean Laplacian whose variance is the reference spectral power averaged over 256 radial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bins, quantized by rounding with ideal entropy coding, for which output entropy and mean squared error have exact closed forms. For each policy, </w:t>
      </w:r>
      <m:oMath>
        <m:r>
          <w:rPr>
            <w:rFonts w:ascii="Cambria Math" w:hAnsi="Cambria Math" w:cs="Cambria Math" w:eastAsia="Cambria Math"/>
            <w:sz w:val="20"/>
            <w:szCs w:val="20"/>
          </w:rPr>
          <m:t xml:space="preserve">α</m:t>
        </m:r>
      </m:oMath>
      <w:r>
        <w:rPr>
          <w:rFonts w:ascii="Arial" w:hAnsi="Arial"/>
          <w:b w:val="0"/>
          <w:i w:val="0"/>
          <w:sz w:val="20"/>
        </w:rPr>
        <w:t xml:space="preserve"> is solved for the target operator error, giving predicted payload bits </w:t>
      </w:r>
      <m:oMath>
        <m:r>
          <w:rPr>
            <w:rFonts w:ascii="Cambria Math" w:hAnsi="Cambria Math" w:cs="Cambria Math" w:eastAsia="Cambria Math"/>
            <w:sz w:val="20"/>
            <w:szCs w:val="20"/>
          </w:rPr>
          <m:t xml:space="preserve">R</m:t>
        </m:r>
      </m:oMath>
      <w:r>
        <w:rPr>
          <w:rFonts w:ascii="Arial" w:hAnsi="Arial"/>
          <w:b w:val="0"/>
          <w:i w:val="0"/>
          <w:sz w:val="20"/>
        </w:rPr>
        <w:t>, and</w:t>
      </w:r>
    </w:p>
    <w:p>
      <w:pPr>
        <w:spacing w:before="60" w:after="120"/>
      </w:pPr>
      <m:oMathPara>
        <m:oMathParaPr>
          <m:jc m:val="center"/>
        </m:oMathParaPr>
        <m:oMath>
          <m:sSub>
            <m:e>
              <m:r>
                <w:rPr>
                  <w:rFonts w:ascii="Cambria Math" w:hAnsi="Cambria Math" w:cs="Cambria Math" w:eastAsia="Cambria Math"/>
                  <w:sz w:val="21"/>
                  <w:szCs w:val="21"/>
                </w:rPr>
                <m:t xml:space="preserve">G</m:t>
              </m:r>
            </m:e>
            <m:sub>
              <m:r>
                <m:rPr>
                  <m:sty m:val="p"/>
                </m:rPr>
                <w:rPr>
                  <w:rFonts w:ascii="Cambria Math" w:hAnsi="Cambria Math" w:cs="Cambria Math" w:eastAsia="Cambria Math"/>
                  <w:sz w:val="21"/>
                  <w:szCs w:val="21"/>
                </w:rPr>
                <m:t xml:space="preserve">pred</m:t>
              </m:r>
            </m:sub>
          </m:sSub>
          <m:r>
            <m:rPr>
              <m:sty m:val="p"/>
            </m:rPr>
            <w:rPr>
              <w:rFonts w:ascii="Cambria Math" w:hAnsi="Cambria Math" w:cs="Cambria Math" w:eastAsia="Cambria Math"/>
              <w:sz w:val="21"/>
              <w:szCs w:val="21"/>
            </w:rPr>
            <m:t xml:space="preserve">=</m:t>
          </m:r>
          <m:f>
            <m:num>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blind</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num>
            <m:den>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opt</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where </w:t>
      </w:r>
      <m:oMath>
        <m:r>
          <w:rPr>
            <w:rFonts w:ascii="Cambria Math" w:hAnsi="Cambria Math" w:cs="Cambria Math" w:eastAsia="Cambria Math"/>
            <w:sz w:val="20"/>
            <w:szCs w:val="20"/>
          </w:rPr>
          <m:t xml:space="preserve">F</m:t>
        </m:r>
      </m:oMath>
      <w:r>
        <w:rPr>
          <w:rFonts w:ascii="Arial" w:hAnsi="Arial"/>
          <w:b w:val="0"/>
          <w:i w:val="0"/>
          <w:sz w:val="20"/>
        </w:rPr>
        <w:t xml:space="preserve"> is the geometry-only container size. The model includes the dead zone that the high-rate law ignores. Its form was fixed by a retrospective calibration on 12 engineering materials (Supplementary Note 8) and then tested only prospectively.</w:t>
      </w:r>
    </w:p>
    <w:p>
      <w:pPr>
        <w:keepNext/>
        <w:spacing w:before="200" w:after="80"/>
      </w:pPr>
      <w:r>
        <w:rPr>
          <w:rFonts w:ascii="Arial" w:hAnsi="Arial"/>
          <w:b/>
          <w:i w:val="0"/>
          <w:sz w:val="20"/>
        </w:rPr>
        <w:t>Populations and protocol chronology</w:t>
      </w:r>
    </w:p>
    <w:p>
      <w:pPr>
        <w:spacing w:after="120"/>
        <w:jc w:val="both"/>
      </w:pPr>
      <w:r>
        <w:rPr>
          <w:rFonts w:ascii="Arial" w:hAnsi="Arial"/>
          <w:b w:val="0"/>
          <w:i w:val="0"/>
          <w:sz w:val="20"/>
        </w:rPr>
        <w:t>Populations were drawn under rules fixed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listing⁴⁰; P3b is 32 NOMAD VASP surface slabs⁴¹, one per reduced formula and at most six per upload. Only metadata was read before the rules were fixed; no outcome was computed on any candidate (Table 1). Supplementary Note 9 details population construction and Supplementary Note 10 indexes the source files.</w:t>
      </w:r>
    </w:p>
    <w:p>
      <w:pPr>
        <w:spacing w:after="120"/>
        <w:jc w:val="both"/>
      </w:pPr>
      <w:r>
        <w:rPr>
          <w:rFonts w:ascii="Arial" w:hAnsi="Arial"/>
          <w:b/>
          <w:i w:val="0"/>
          <w:sz w:val="20"/>
        </w:rPr>
        <w:t>Table 1 | Protocol chronology.</w:t>
      </w:r>
      <w:r>
        <w:rPr>
          <w:rFonts w:ascii="Arial" w:hAnsi="Arial"/>
          <w:b w:val="0"/>
          <w:i w:val="0"/>
          <w:sz w:val="20"/>
        </w:rPr>
        <w:t xml:space="preserve"> Commits on the public repository, in order; times in UTC.</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i w:val="0"/>
                <w:sz w:val="15"/>
              </w:rPr>
              <w:t>step</w:t>
            </w:r>
          </w:p>
        </w:tc>
        <w:tc>
          <w:tcPr>
            <w:tcW w:type="dxa" w:w="3364"/>
            <w:tcBorders>
              <w:top w:val="single" w:sz="6" w:color="1B1B1B"/>
              <w:bottom w:val="single" w:sz="4" w:color="1B1B1B"/>
              <w:left w:val="nil"/>
              <w:right w:val="nil"/>
            </w:tcBorders>
          </w:tcPr>
          <w:p>
            <w:r/>
            <w:r>
              <w:rPr>
                <w:rFonts w:ascii="Arial" w:hAnsi="Arial"/>
                <w:b/>
                <w:i w:val="0"/>
                <w:sz w:val="15"/>
              </w:rPr>
              <w:t>commit</w:t>
            </w:r>
          </w:p>
        </w:tc>
        <w:tc>
          <w:tcPr>
            <w:tcW w:type="dxa" w:w="3364"/>
            <w:tcBorders>
              <w:top w:val="single" w:sz="6" w:color="1B1B1B"/>
              <w:bottom w:val="single" w:sz="4" w:color="1B1B1B"/>
              <w:left w:val="nil"/>
              <w:right w:val="nil"/>
            </w:tcBorders>
          </w:tcPr>
          <w:p>
            <w:r/>
            <w:r>
              <w:rPr>
                <w:rFonts w:ascii="Arial" w:hAnsi="Arial"/>
                <w:b/>
                <w:i w:val="0"/>
                <w:sz w:val="15"/>
              </w:rPr>
              <w:t>time (UTC)</w:t>
            </w:r>
          </w:p>
        </w:tc>
      </w:tr>
      <w:tr>
        <w:tc>
          <w:tcPr>
            <w:tcW w:type="dxa" w:w="3364"/>
            <w:tcBorders>
              <w:top w:val="nil"/>
              <w:bottom w:val="nil"/>
              <w:left w:val="nil"/>
              <w:right w:val="nil"/>
            </w:tcBorders>
          </w:tcPr>
          <w:p>
            <w:pPr>
              <w:spacing w:after="0"/>
            </w:pPr>
            <w:r/>
            <w:r>
              <w:rPr>
                <w:rFonts w:ascii="Arial" w:hAnsi="Arial"/>
                <w:b w:val="0"/>
                <w:i w:val="0"/>
                <w:sz w:val="15"/>
              </w:rPr>
              <w:t>Archive-estimate protocol and sample fixed</w:t>
            </w:r>
          </w:p>
        </w:tc>
        <w:tc>
          <w:tcPr>
            <w:tcW w:type="dxa" w:w="3364"/>
            <w:tcBorders>
              <w:top w:val="nil"/>
              <w:bottom w:val="nil"/>
              <w:left w:val="nil"/>
              <w:right w:val="nil"/>
            </w:tcBorders>
          </w:tcPr>
          <w:p>
            <w:pPr>
              <w:spacing w:after="0"/>
            </w:pPr>
            <w:r/>
            <w:r>
              <w:rPr>
                <w:rFonts w:ascii="Arial" w:hAnsi="Arial"/>
                <w:b w:val="0"/>
                <w:i w:val="0"/>
                <w:sz w:val="15"/>
              </w:rPr>
              <w:t>cb6438c</w:t>
            </w:r>
          </w:p>
        </w:tc>
        <w:tc>
          <w:tcPr>
            <w:tcW w:type="dxa" w:w="3364"/>
            <w:tcBorders>
              <w:top w:val="nil"/>
              <w:bottom w:val="nil"/>
              <w:left w:val="nil"/>
              <w:right w:val="nil"/>
            </w:tcBorders>
          </w:tcPr>
          <w:p>
            <w:pPr>
              <w:spacing w:after="0"/>
            </w:pPr>
            <w:r/>
            <w:r>
              <w:rPr>
                <w:rFonts w:ascii="Arial" w:hAnsi="Arial"/>
                <w:b w:val="0"/>
                <w:i w:val="0"/>
                <w:sz w:val="15"/>
              </w:rPr>
              <w:t>2026-09-30 11:02</w:t>
            </w:r>
          </w:p>
        </w:tc>
      </w:tr>
      <w:tr>
        <w:tc>
          <w:tcPr>
            <w:tcW w:type="dxa" w:w="3364"/>
            <w:tcBorders>
              <w:top w:val="nil"/>
              <w:bottom w:val="nil"/>
              <w:left w:val="nil"/>
              <w:right w:val="nil"/>
            </w:tcBorders>
          </w:tcPr>
          <w:p>
            <w:pPr>
              <w:spacing w:after="0"/>
            </w:pPr>
            <w:r/>
            <w:r>
              <w:rPr>
                <w:rFonts w:ascii="Arial" w:hAnsi="Arial"/>
                <w:b w:val="0"/>
                <w:i w:val="0"/>
                <w:sz w:val="15"/>
              </w:rPr>
              <w:t>Population selection rule and exclusion set fixed</w:t>
            </w:r>
          </w:p>
        </w:tc>
        <w:tc>
          <w:tcPr>
            <w:tcW w:type="dxa" w:w="3364"/>
            <w:tcBorders>
              <w:top w:val="nil"/>
              <w:bottom w:val="nil"/>
              <w:left w:val="nil"/>
              <w:right w:val="nil"/>
            </w:tcBorders>
          </w:tcPr>
          <w:p>
            <w:pPr>
              <w:spacing w:after="0"/>
            </w:pPr>
            <w:r/>
            <w:r>
              <w:rPr>
                <w:rFonts w:ascii="Arial" w:hAnsi="Arial"/>
                <w:b w:val="0"/>
                <w:i w:val="0"/>
                <w:sz w:val="15"/>
              </w:rPr>
              <w:t>10e7863</w:t>
            </w:r>
          </w:p>
        </w:tc>
        <w:tc>
          <w:tcPr>
            <w:tcW w:type="dxa" w:w="3364"/>
            <w:tcBorders>
              <w:top w:val="nil"/>
              <w:bottom w:val="nil"/>
              <w:left w:val="nil"/>
              <w:right w:val="nil"/>
            </w:tcBorders>
          </w:tcPr>
          <w:p>
            <w:pPr>
              <w:spacing w:after="0"/>
            </w:pPr>
            <w:r/>
            <w:r>
              <w:rPr>
                <w:rFonts w:ascii="Arial" w:hAnsi="Arial"/>
                <w:b w:val="0"/>
                <w:i w:val="0"/>
                <w:sz w:val="15"/>
              </w:rPr>
              <w:t>2026-10-06 14:27</w:t>
            </w:r>
          </w:p>
        </w:tc>
      </w:tr>
      <w:tr>
        <w:tc>
          <w:tcPr>
            <w:tcW w:type="dxa" w:w="3364"/>
            <w:tcBorders>
              <w:top w:val="nil"/>
              <w:bottom w:val="nil"/>
              <w:left w:val="nil"/>
              <w:right w:val="nil"/>
            </w:tcBorders>
          </w:tcPr>
          <w:p>
            <w:pPr>
              <w:spacing w:after="0"/>
            </w:pPr>
            <w:r/>
            <w:r>
              <w:rPr>
                <w:rFonts w:ascii="Arial" w:hAnsi="Arial"/>
                <w:b w:val="0"/>
                <w:i w:val="0"/>
                <w:sz w:val="15"/>
              </w:rPr>
              <w:t>P1 and P2 manifests drawn</w:t>
            </w:r>
          </w:p>
        </w:tc>
        <w:tc>
          <w:tcPr>
            <w:tcW w:type="dxa" w:w="3364"/>
            <w:tcBorders>
              <w:top w:val="nil"/>
              <w:bottom w:val="nil"/>
              <w:left w:val="nil"/>
              <w:right w:val="nil"/>
            </w:tcBorders>
          </w:tcPr>
          <w:p>
            <w:pPr>
              <w:spacing w:after="0"/>
            </w:pPr>
            <w:r/>
            <w:r>
              <w:rPr>
                <w:rFonts w:ascii="Arial" w:hAnsi="Arial"/>
                <w:b w:val="0"/>
                <w:i w:val="0"/>
                <w:sz w:val="15"/>
              </w:rPr>
              <w:t>708dd37</w:t>
            </w:r>
          </w:p>
        </w:tc>
        <w:tc>
          <w:tcPr>
            <w:tcW w:type="dxa" w:w="3364"/>
            <w:tcBorders>
              <w:top w:val="nil"/>
              <w:bottom w:val="nil"/>
              <w:left w:val="nil"/>
              <w:right w:val="nil"/>
            </w:tcBorders>
          </w:tcPr>
          <w:p>
            <w:pPr>
              <w:spacing w:after="0"/>
            </w:pPr>
            <w:r/>
            <w:r>
              <w:rPr>
                <w:rFonts w:ascii="Arial" w:hAnsi="Arial"/>
                <w:b w:val="0"/>
                <w:i w:val="0"/>
                <w:sz w:val="15"/>
              </w:rPr>
              <w:t>2026-10-06 15:09</w:t>
            </w:r>
          </w:p>
        </w:tc>
      </w:tr>
      <w:tr>
        <w:tc>
          <w:tcPr>
            <w:tcW w:type="dxa" w:w="3364"/>
            <w:tcBorders>
              <w:top w:val="nil"/>
              <w:bottom w:val="nil"/>
              <w:left w:val="nil"/>
              <w:right w:val="nil"/>
            </w:tcBorders>
          </w:tcPr>
          <w:p>
            <w:pPr>
              <w:spacing w:after="0"/>
            </w:pPr>
            <w:r/>
            <w:r>
              <w:rPr>
                <w:rFonts w:ascii="Arial" w:hAnsi="Arial"/>
                <w:b w:val="0"/>
                <w:i w:val="0"/>
                <w:sz w:val="15"/>
              </w:rPr>
              <w:t>Law protocol (Parts A and B, criteria) fixed</w:t>
            </w:r>
          </w:p>
        </w:tc>
        <w:tc>
          <w:tcPr>
            <w:tcW w:type="dxa" w:w="3364"/>
            <w:tcBorders>
              <w:top w:val="nil"/>
              <w:bottom w:val="nil"/>
              <w:left w:val="nil"/>
              <w:right w:val="nil"/>
            </w:tcBorders>
          </w:tcPr>
          <w:p>
            <w:pPr>
              <w:spacing w:after="0"/>
            </w:pPr>
            <w:r/>
            <w:r>
              <w:rPr>
                <w:rFonts w:ascii="Arial" w:hAnsi="Arial"/>
                <w:b w:val="0"/>
                <w:i w:val="0"/>
                <w:sz w:val="15"/>
              </w:rPr>
              <w:t>fe2e08a</w:t>
            </w:r>
          </w:p>
        </w:tc>
        <w:tc>
          <w:tcPr>
            <w:tcW w:type="dxa" w:w="3364"/>
            <w:tcBorders>
              <w:top w:val="nil"/>
              <w:bottom w:val="nil"/>
              <w:left w:val="nil"/>
              <w:right w:val="nil"/>
            </w:tcBorders>
          </w:tcPr>
          <w:p>
            <w:pPr>
              <w:spacing w:after="0"/>
            </w:pPr>
            <w:r/>
            <w:r>
              <w:rPr>
                <w:rFonts w:ascii="Arial" w:hAnsi="Arial"/>
                <w:b w:val="0"/>
                <w:i w:val="0"/>
                <w:sz w:val="15"/>
              </w:rPr>
              <w:t>2026-10-06 15:26</w:t>
            </w:r>
          </w:p>
        </w:tc>
      </w:tr>
      <w:tr>
        <w:tc>
          <w:tcPr>
            <w:tcW w:type="dxa" w:w="3364"/>
            <w:tcBorders>
              <w:top w:val="nil"/>
              <w:bottom w:val="nil"/>
              <w:left w:val="nil"/>
              <w:right w:val="nil"/>
            </w:tcBorders>
          </w:tcPr>
          <w:p>
            <w:pPr>
              <w:spacing w:after="0"/>
            </w:pPr>
            <w:r/>
            <w:r>
              <w:rPr>
                <w:rFonts w:ascii="Arial" w:hAnsi="Arial"/>
                <w:b w:val="0"/>
                <w:i w:val="0"/>
                <w:sz w:val="15"/>
              </w:rPr>
              <w:t>P1 predictions committed</w:t>
            </w:r>
          </w:p>
        </w:tc>
        <w:tc>
          <w:tcPr>
            <w:tcW w:type="dxa" w:w="3364"/>
            <w:tcBorders>
              <w:top w:val="nil"/>
              <w:bottom w:val="nil"/>
              <w:left w:val="nil"/>
              <w:right w:val="nil"/>
            </w:tcBorders>
          </w:tcPr>
          <w:p>
            <w:pPr>
              <w:spacing w:after="0"/>
            </w:pPr>
            <w:r/>
            <w:r>
              <w:rPr>
                <w:rFonts w:ascii="Arial" w:hAnsi="Arial"/>
                <w:b w:val="0"/>
                <w:i w:val="0"/>
                <w:sz w:val="15"/>
              </w:rPr>
              <w:t>d5fc30b</w:t>
            </w:r>
          </w:p>
        </w:tc>
        <w:tc>
          <w:tcPr>
            <w:tcW w:type="dxa" w:w="3364"/>
            <w:tcBorders>
              <w:top w:val="nil"/>
              <w:bottom w:val="nil"/>
              <w:left w:val="nil"/>
              <w:right w:val="nil"/>
            </w:tcBorders>
          </w:tcPr>
          <w:p>
            <w:pPr>
              <w:spacing w:after="0"/>
            </w:pPr>
            <w:r/>
            <w:r>
              <w:rPr>
                <w:rFonts w:ascii="Arial" w:hAnsi="Arial"/>
                <w:b w:val="0"/>
                <w:i w:val="0"/>
                <w:sz w:val="15"/>
              </w:rPr>
              <w:t>2026-10-06 15:32</w:t>
            </w:r>
          </w:p>
        </w:tc>
      </w:tr>
      <w:tr>
        <w:tc>
          <w:tcPr>
            <w:tcW w:type="dxa" w:w="3364"/>
            <w:tcBorders>
              <w:top w:val="nil"/>
              <w:bottom w:val="nil"/>
              <w:left w:val="nil"/>
              <w:right w:val="nil"/>
            </w:tcBorders>
          </w:tcPr>
          <w:p>
            <w:pPr>
              <w:spacing w:after="0"/>
            </w:pPr>
            <w:r/>
            <w:r>
              <w:rPr>
                <w:rFonts w:ascii="Arial" w:hAnsi="Arial"/>
                <w:b w:val="0"/>
                <w:i w:val="0"/>
                <w:sz w:val="15"/>
              </w:rPr>
              <w:t>P1 run recorded</w:t>
            </w:r>
          </w:p>
        </w:tc>
        <w:tc>
          <w:tcPr>
            <w:tcW w:type="dxa" w:w="3364"/>
            <w:tcBorders>
              <w:top w:val="nil"/>
              <w:bottom w:val="nil"/>
              <w:left w:val="nil"/>
              <w:right w:val="nil"/>
            </w:tcBorders>
          </w:tcPr>
          <w:p>
            <w:pPr>
              <w:spacing w:after="0"/>
            </w:pPr>
            <w:r/>
            <w:r>
              <w:rPr>
                <w:rFonts w:ascii="Arial" w:hAnsi="Arial"/>
                <w:b w:val="0"/>
                <w:i w:val="0"/>
                <w:sz w:val="15"/>
              </w:rPr>
              <w:t>4164519</w:t>
            </w:r>
          </w:p>
        </w:tc>
        <w:tc>
          <w:tcPr>
            <w:tcW w:type="dxa" w:w="3364"/>
            <w:tcBorders>
              <w:top w:val="nil"/>
              <w:bottom w:val="nil"/>
              <w:left w:val="nil"/>
              <w:right w:val="nil"/>
            </w:tcBorders>
          </w:tcPr>
          <w:p>
            <w:pPr>
              <w:spacing w:after="0"/>
            </w:pPr>
            <w:r/>
            <w:r>
              <w:rPr>
                <w:rFonts w:ascii="Arial" w:hAnsi="Arial"/>
                <w:b w:val="0"/>
                <w:i w:val="0"/>
                <w:sz w:val="15"/>
              </w:rPr>
              <w:t>2026-10-06 15:54</w:t>
            </w:r>
          </w:p>
        </w:tc>
      </w:tr>
      <w:tr>
        <w:tc>
          <w:tcPr>
            <w:tcW w:type="dxa" w:w="3364"/>
            <w:tcBorders>
              <w:top w:val="nil"/>
              <w:bottom w:val="nil"/>
              <w:left w:val="nil"/>
              <w:right w:val="nil"/>
            </w:tcBorders>
          </w:tcPr>
          <w:p>
            <w:pPr>
              <w:spacing w:after="0"/>
            </w:pPr>
            <w:r/>
            <w:r>
              <w:rPr>
                <w:rFonts w:ascii="Arial" w:hAnsi="Arial"/>
                <w:b w:val="0"/>
                <w:i w:val="0"/>
                <w:sz w:val="15"/>
              </w:rPr>
              <w:t>P3b selection rule and protocol amendment fixed</w:t>
            </w:r>
          </w:p>
        </w:tc>
        <w:tc>
          <w:tcPr>
            <w:tcW w:type="dxa" w:w="3364"/>
            <w:tcBorders>
              <w:top w:val="nil"/>
              <w:bottom w:val="nil"/>
              <w:left w:val="nil"/>
              <w:right w:val="nil"/>
            </w:tcBorders>
          </w:tcPr>
          <w:p>
            <w:pPr>
              <w:spacing w:after="0"/>
            </w:pPr>
            <w:r/>
            <w:r>
              <w:rPr>
                <w:rFonts w:ascii="Arial" w:hAnsi="Arial"/>
                <w:b w:val="0"/>
                <w:i w:val="0"/>
                <w:sz w:val="15"/>
              </w:rPr>
              <w:t>39ba728</w:t>
            </w:r>
          </w:p>
        </w:tc>
        <w:tc>
          <w:tcPr>
            <w:tcW w:type="dxa" w:w="3364"/>
            <w:tcBorders>
              <w:top w:val="nil"/>
              <w:bottom w:val="nil"/>
              <w:left w:val="nil"/>
              <w:right w:val="nil"/>
            </w:tcBorders>
          </w:tcPr>
          <w:p>
            <w:pPr>
              <w:spacing w:after="0"/>
            </w:pPr>
            <w:r/>
            <w:r>
              <w:rPr>
                <w:rFonts w:ascii="Arial" w:hAnsi="Arial"/>
                <w:b w:val="0"/>
                <w:i w:val="0"/>
                <w:sz w:val="15"/>
              </w:rPr>
              <w:t>2026-10-06 15:59</w:t>
            </w:r>
          </w:p>
        </w:tc>
      </w:tr>
      <w:tr>
        <w:tc>
          <w:tcPr>
            <w:tcW w:type="dxa" w:w="3364"/>
            <w:tcBorders>
              <w:top w:val="nil"/>
              <w:bottom w:val="nil"/>
              <w:left w:val="nil"/>
              <w:right w:val="nil"/>
            </w:tcBorders>
          </w:tcPr>
          <w:p>
            <w:pPr>
              <w:spacing w:after="0"/>
            </w:pPr>
            <w:r/>
            <w:r>
              <w:rPr>
                <w:rFonts w:ascii="Arial" w:hAnsi="Arial"/>
                <w:b w:val="0"/>
                <w:i w:val="0"/>
                <w:sz w:val="15"/>
              </w:rPr>
              <w:t>P3b cohort drawn</w:t>
            </w:r>
          </w:p>
        </w:tc>
        <w:tc>
          <w:tcPr>
            <w:tcW w:type="dxa" w:w="3364"/>
            <w:tcBorders>
              <w:top w:val="nil"/>
              <w:bottom w:val="nil"/>
              <w:left w:val="nil"/>
              <w:right w:val="nil"/>
            </w:tcBorders>
          </w:tcPr>
          <w:p>
            <w:pPr>
              <w:spacing w:after="0"/>
            </w:pPr>
            <w:r/>
            <w:r>
              <w:rPr>
                <w:rFonts w:ascii="Arial" w:hAnsi="Arial"/>
                <w:b w:val="0"/>
                <w:i w:val="0"/>
                <w:sz w:val="15"/>
              </w:rPr>
              <w:t>d1c1050</w:t>
            </w:r>
          </w:p>
        </w:tc>
        <w:tc>
          <w:tcPr>
            <w:tcW w:type="dxa" w:w="3364"/>
            <w:tcBorders>
              <w:top w:val="nil"/>
              <w:bottom w:val="nil"/>
              <w:left w:val="nil"/>
              <w:right w:val="nil"/>
            </w:tcBorders>
          </w:tcPr>
          <w:p>
            <w:pPr>
              <w:spacing w:after="0"/>
            </w:pPr>
            <w:r/>
            <w:r>
              <w:rPr>
                <w:rFonts w:ascii="Arial" w:hAnsi="Arial"/>
                <w:b w:val="0"/>
                <w:i w:val="0"/>
                <w:sz w:val="15"/>
              </w:rPr>
              <w:t>2026-10-06 16:03</w:t>
            </w:r>
          </w:p>
        </w:tc>
      </w:tr>
      <w:tr>
        <w:tc>
          <w:tcPr>
            <w:tcW w:type="dxa" w:w="3364"/>
            <w:tcBorders>
              <w:top w:val="nil"/>
              <w:bottom w:val="nil"/>
              <w:left w:val="nil"/>
              <w:right w:val="nil"/>
            </w:tcBorders>
          </w:tcPr>
          <w:p>
            <w:pPr>
              <w:spacing w:after="0"/>
            </w:pPr>
            <w:r/>
            <w:r>
              <w:rPr>
                <w:rFonts w:ascii="Arial" w:hAnsi="Arial"/>
                <w:b w:val="0"/>
                <w:i w:val="0"/>
                <w:sz w:val="15"/>
              </w:rPr>
              <w:t>P3b predictions committed</w:t>
            </w:r>
          </w:p>
        </w:tc>
        <w:tc>
          <w:tcPr>
            <w:tcW w:type="dxa" w:w="3364"/>
            <w:tcBorders>
              <w:top w:val="nil"/>
              <w:bottom w:val="nil"/>
              <w:left w:val="nil"/>
              <w:right w:val="nil"/>
            </w:tcBorders>
          </w:tcPr>
          <w:p>
            <w:pPr>
              <w:spacing w:after="0"/>
            </w:pPr>
            <w:r/>
            <w:r>
              <w:rPr>
                <w:rFonts w:ascii="Arial" w:hAnsi="Arial"/>
                <w:b w:val="0"/>
                <w:i w:val="0"/>
                <w:sz w:val="15"/>
              </w:rPr>
              <w:t>c1e6564</w:t>
            </w:r>
          </w:p>
        </w:tc>
        <w:tc>
          <w:tcPr>
            <w:tcW w:type="dxa" w:w="3364"/>
            <w:tcBorders>
              <w:top w:val="nil"/>
              <w:bottom w:val="nil"/>
              <w:left w:val="nil"/>
              <w:right w:val="nil"/>
            </w:tcBorders>
          </w:tcPr>
          <w:p>
            <w:pPr>
              <w:spacing w:after="0"/>
            </w:pPr>
            <w:r/>
            <w:r>
              <w:rPr>
                <w:rFonts w:ascii="Arial" w:hAnsi="Arial"/>
                <w:b w:val="0"/>
                <w:i w:val="0"/>
                <w:sz w:val="15"/>
              </w:rPr>
              <w:t>2026-10-06 16:08</w:t>
            </w:r>
          </w:p>
        </w:tc>
      </w:tr>
      <w:tr>
        <w:tc>
          <w:tcPr>
            <w:tcW w:type="dxa" w:w="3364"/>
            <w:tcBorders>
              <w:top w:val="nil"/>
              <w:bottom w:val="nil"/>
              <w:left w:val="nil"/>
              <w:right w:val="nil"/>
            </w:tcBorders>
          </w:tcPr>
          <w:p>
            <w:pPr>
              <w:spacing w:after="0"/>
            </w:pPr>
            <w:r/>
            <w:r>
              <w:rPr>
                <w:rFonts w:ascii="Arial" w:hAnsi="Arial"/>
                <w:b w:val="0"/>
                <w:i w:val="0"/>
                <w:sz w:val="15"/>
              </w:rPr>
              <w:t>P3b run recorded</w:t>
            </w:r>
          </w:p>
        </w:tc>
        <w:tc>
          <w:tcPr>
            <w:tcW w:type="dxa" w:w="3364"/>
            <w:tcBorders>
              <w:top w:val="nil"/>
              <w:bottom w:val="nil"/>
              <w:left w:val="nil"/>
              <w:right w:val="nil"/>
            </w:tcBorders>
          </w:tcPr>
          <w:p>
            <w:pPr>
              <w:spacing w:after="0"/>
            </w:pPr>
            <w:r/>
            <w:r>
              <w:rPr>
                <w:rFonts w:ascii="Arial" w:hAnsi="Arial"/>
                <w:b w:val="0"/>
                <w:i w:val="0"/>
                <w:sz w:val="15"/>
              </w:rPr>
              <w:t>eaa3267</w:t>
            </w:r>
          </w:p>
        </w:tc>
        <w:tc>
          <w:tcPr>
            <w:tcW w:type="dxa" w:w="3364"/>
            <w:tcBorders>
              <w:top w:val="nil"/>
              <w:bottom w:val="nil"/>
              <w:left w:val="nil"/>
              <w:right w:val="nil"/>
            </w:tcBorders>
          </w:tcPr>
          <w:p>
            <w:pPr>
              <w:spacing w:after="0"/>
            </w:pPr>
            <w:r/>
            <w:r>
              <w:rPr>
                <w:rFonts w:ascii="Arial" w:hAnsi="Arial"/>
                <w:b w:val="0"/>
                <w:i w:val="0"/>
                <w:sz w:val="15"/>
              </w:rPr>
              <w:t>2026-10-06 16:23</w:t>
            </w:r>
          </w:p>
        </w:tc>
      </w:tr>
      <w:tr>
        <w:tc>
          <w:tcPr>
            <w:tcW w:type="dxa" w:w="3364"/>
            <w:tcBorders>
              <w:top w:val="nil"/>
              <w:bottom w:val="nil"/>
              <w:left w:val="nil"/>
              <w:right w:val="nil"/>
            </w:tcBorders>
          </w:tcPr>
          <w:p>
            <w:pPr>
              <w:spacing w:after="0"/>
            </w:pPr>
            <w:r/>
            <w:r>
              <w:rPr>
                <w:rFonts w:ascii="Arial" w:hAnsi="Arial"/>
                <w:b w:val="0"/>
                <w:i w:val="0"/>
                <w:sz w:val="15"/>
              </w:rPr>
              <w:t>Joint-contract protocol and criteria fixed</w:t>
            </w:r>
          </w:p>
        </w:tc>
        <w:tc>
          <w:tcPr>
            <w:tcW w:type="dxa" w:w="3364"/>
            <w:tcBorders>
              <w:top w:val="nil"/>
              <w:bottom w:val="nil"/>
              <w:left w:val="nil"/>
              <w:right w:val="nil"/>
            </w:tcBorders>
          </w:tcPr>
          <w:p>
            <w:pPr>
              <w:spacing w:after="0"/>
            </w:pPr>
            <w:r/>
            <w:r>
              <w:rPr>
                <w:rFonts w:ascii="Arial" w:hAnsi="Arial"/>
                <w:b w:val="0"/>
                <w:i w:val="0"/>
                <w:sz w:val="15"/>
              </w:rPr>
              <w:t>8a784a4</w:t>
            </w:r>
          </w:p>
        </w:tc>
        <w:tc>
          <w:tcPr>
            <w:tcW w:type="dxa" w:w="3364"/>
            <w:tcBorders>
              <w:top w:val="nil"/>
              <w:bottom w:val="nil"/>
              <w:left w:val="nil"/>
              <w:right w:val="nil"/>
            </w:tcBorders>
          </w:tcPr>
          <w:p>
            <w:pPr>
              <w:spacing w:after="0"/>
            </w:pPr>
            <w:r/>
            <w:r>
              <w:rPr>
                <w:rFonts w:ascii="Arial" w:hAnsi="Arial"/>
                <w:b w:val="0"/>
                <w:i w:val="0"/>
                <w:sz w:val="15"/>
              </w:rPr>
              <w:t>2026-10-06 16:25</w:t>
            </w:r>
          </w:p>
        </w:tc>
      </w:tr>
      <w:tr>
        <w:tc>
          <w:tcPr>
            <w:tcW w:type="dxa" w:w="3364"/>
            <w:tcBorders>
              <w:top w:val="nil"/>
              <w:bottom w:val="nil"/>
              <w:left w:val="nil"/>
              <w:right w:val="nil"/>
            </w:tcBorders>
          </w:tcPr>
          <w:p>
            <w:pPr>
              <w:spacing w:after="0"/>
            </w:pPr>
            <w:r/>
            <w:r>
              <w:rPr>
                <w:rFonts w:ascii="Arial" w:hAnsi="Arial"/>
                <w:b w:val="0"/>
                <w:i w:val="0"/>
                <w:sz w:val="15"/>
              </w:rPr>
              <w:t>Joint-contract engineering gates passed</w:t>
            </w:r>
          </w:p>
        </w:tc>
        <w:tc>
          <w:tcPr>
            <w:tcW w:type="dxa" w:w="3364"/>
            <w:tcBorders>
              <w:top w:val="nil"/>
              <w:bottom w:val="nil"/>
              <w:left w:val="nil"/>
              <w:right w:val="nil"/>
            </w:tcBorders>
          </w:tcPr>
          <w:p>
            <w:pPr>
              <w:spacing w:after="0"/>
            </w:pPr>
            <w:r/>
            <w:r>
              <w:rPr>
                <w:rFonts w:ascii="Arial" w:hAnsi="Arial"/>
                <w:b w:val="0"/>
                <w:i w:val="0"/>
                <w:sz w:val="15"/>
              </w:rPr>
              <w:t>e095a0c</w:t>
            </w:r>
          </w:p>
        </w:tc>
        <w:tc>
          <w:tcPr>
            <w:tcW w:type="dxa" w:w="3364"/>
            <w:tcBorders>
              <w:top w:val="nil"/>
              <w:bottom w:val="nil"/>
              <w:left w:val="nil"/>
              <w:right w:val="nil"/>
            </w:tcBorders>
          </w:tcPr>
          <w:p>
            <w:pPr>
              <w:spacing w:after="0"/>
            </w:pPr>
            <w:r/>
            <w:r>
              <w:rPr>
                <w:rFonts w:ascii="Arial" w:hAnsi="Arial"/>
                <w:b w:val="0"/>
                <w:i w:val="0"/>
                <w:sz w:val="15"/>
              </w:rPr>
              <w:t>2026-10-06 16:42</w:t>
            </w:r>
          </w:p>
        </w:tc>
      </w:tr>
      <w:tr>
        <w:tc>
          <w:tcPr>
            <w:tcW w:type="dxa" w:w="3364"/>
            <w:tcBorders>
              <w:top w:val="nil"/>
              <w:bottom w:val="nil"/>
              <w:left w:val="nil"/>
              <w:right w:val="nil"/>
            </w:tcBorders>
          </w:tcPr>
          <w:p>
            <w:pPr>
              <w:spacing w:after="0"/>
            </w:pPr>
            <w:r/>
            <w:r>
              <w:rPr>
                <w:rFonts w:ascii="Arial" w:hAnsi="Arial"/>
                <w:b w:val="0"/>
                <w:i w:val="0"/>
                <w:sz w:val="15"/>
              </w:rPr>
              <w:t>Joint-contract confirmation recorded</w:t>
            </w:r>
          </w:p>
        </w:tc>
        <w:tc>
          <w:tcPr>
            <w:tcW w:type="dxa" w:w="3364"/>
            <w:tcBorders>
              <w:top w:val="nil"/>
              <w:bottom w:val="nil"/>
              <w:left w:val="nil"/>
              <w:right w:val="nil"/>
            </w:tcBorders>
          </w:tcPr>
          <w:p>
            <w:pPr>
              <w:spacing w:after="0"/>
            </w:pPr>
            <w:r/>
            <w:r>
              <w:rPr>
                <w:rFonts w:ascii="Arial" w:hAnsi="Arial"/>
                <w:b w:val="0"/>
                <w:i w:val="0"/>
                <w:sz w:val="15"/>
              </w:rPr>
              <w:t>e4d9d0b</w:t>
            </w:r>
          </w:p>
        </w:tc>
        <w:tc>
          <w:tcPr>
            <w:tcW w:type="dxa" w:w="3364"/>
            <w:tcBorders>
              <w:top w:val="nil"/>
              <w:bottom w:val="nil"/>
              <w:left w:val="nil"/>
              <w:right w:val="nil"/>
            </w:tcBorders>
          </w:tcPr>
          <w:p>
            <w:pPr>
              <w:spacing w:after="0"/>
            </w:pPr>
            <w:r/>
            <w:r>
              <w:rPr>
                <w:rFonts w:ascii="Arial" w:hAnsi="Arial"/>
                <w:b w:val="0"/>
                <w:i w:val="0"/>
                <w:sz w:val="15"/>
              </w:rPr>
              <w:t>2026-10-06 18:00</w:t>
            </w:r>
          </w:p>
        </w:tc>
      </w:tr>
      <w:tr>
        <w:tc>
          <w:tcPr>
            <w:tcW w:type="dxa" w:w="3364"/>
            <w:tcBorders>
              <w:top w:val="nil"/>
              <w:bottom w:val="nil"/>
              <w:left w:val="nil"/>
              <w:right w:val="nil"/>
            </w:tcBorders>
          </w:tcPr>
          <w:p>
            <w:pPr>
              <w:spacing w:after="0"/>
            </w:pPr>
            <w:r/>
            <w:r>
              <w:rPr>
                <w:rFonts w:ascii="Arial" w:hAnsi="Arial"/>
                <w:b w:val="0"/>
                <w:i w:val="0"/>
                <w:sz w:val="15"/>
              </w:rPr>
              <w:t>Work-function protocol fixed</w:t>
            </w:r>
          </w:p>
        </w:tc>
        <w:tc>
          <w:tcPr>
            <w:tcW w:type="dxa" w:w="3364"/>
            <w:tcBorders>
              <w:top w:val="nil"/>
              <w:bottom w:val="nil"/>
              <w:left w:val="nil"/>
              <w:right w:val="nil"/>
            </w:tcBorders>
          </w:tcPr>
          <w:p>
            <w:pPr>
              <w:spacing w:after="0"/>
            </w:pPr>
            <w:r/>
            <w:r>
              <w:rPr>
                <w:rFonts w:ascii="Arial" w:hAnsi="Arial"/>
                <w:b w:val="0"/>
                <w:i w:val="0"/>
                <w:sz w:val="15"/>
              </w:rPr>
              <w:t>47b110a</w:t>
            </w:r>
          </w:p>
        </w:tc>
        <w:tc>
          <w:tcPr>
            <w:tcW w:type="dxa" w:w="3364"/>
            <w:tcBorders>
              <w:top w:val="nil"/>
              <w:bottom w:val="nil"/>
              <w:left w:val="nil"/>
              <w:right w:val="nil"/>
            </w:tcBorders>
          </w:tcPr>
          <w:p>
            <w:pPr>
              <w:spacing w:after="0"/>
            </w:pPr>
            <w:r/>
            <w:r>
              <w:rPr>
                <w:rFonts w:ascii="Arial" w:hAnsi="Arial"/>
                <w:b w:val="0"/>
                <w:i w:val="0"/>
                <w:sz w:val="15"/>
              </w:rPr>
              <w:t>2026-10-07 09:08</w:t>
            </w:r>
          </w:p>
        </w:tc>
      </w:tr>
      <w:tr>
        <w:tc>
          <w:tcPr>
            <w:tcW w:type="dxa" w:w="3364"/>
            <w:tcBorders>
              <w:top w:val="nil"/>
              <w:bottom w:val="nil"/>
              <w:left w:val="nil"/>
              <w:right w:val="nil"/>
            </w:tcBorders>
          </w:tcPr>
          <w:p>
            <w:pPr>
              <w:spacing w:after="0"/>
            </w:pPr>
            <w:r/>
            <w:r>
              <w:rPr>
                <w:rFonts w:ascii="Arial" w:hAnsi="Arial"/>
                <w:b w:val="0"/>
                <w:i w:val="0"/>
                <w:sz w:val="15"/>
              </w:rPr>
              <w:t>QoI-preserving baseline protocol fixed</w:t>
            </w:r>
          </w:p>
        </w:tc>
        <w:tc>
          <w:tcPr>
            <w:tcW w:type="dxa" w:w="3364"/>
            <w:tcBorders>
              <w:top w:val="nil"/>
              <w:bottom w:val="nil"/>
              <w:left w:val="nil"/>
              <w:right w:val="nil"/>
            </w:tcBorders>
          </w:tcPr>
          <w:p>
            <w:pPr>
              <w:spacing w:after="0"/>
            </w:pPr>
            <w:r/>
            <w:r>
              <w:rPr>
                <w:rFonts w:ascii="Arial" w:hAnsi="Arial"/>
                <w:b w:val="0"/>
                <w:i w:val="0"/>
                <w:sz w:val="15"/>
              </w:rPr>
              <w:t>16e8890</w:t>
            </w:r>
          </w:p>
        </w:tc>
        <w:tc>
          <w:tcPr>
            <w:tcW w:type="dxa" w:w="3364"/>
            <w:tcBorders>
              <w:top w:val="nil"/>
              <w:bottom w:val="nil"/>
              <w:left w:val="nil"/>
              <w:right w:val="nil"/>
            </w:tcBorders>
          </w:tcPr>
          <w:p>
            <w:pPr>
              <w:spacing w:after="0"/>
            </w:pPr>
            <w:r/>
            <w:r>
              <w:rPr>
                <w:rFonts w:ascii="Arial" w:hAnsi="Arial"/>
                <w:b w:val="0"/>
                <w:i w:val="0"/>
                <w:sz w:val="15"/>
              </w:rPr>
              <w:t>2026-10-07 09:11</w:t>
            </w:r>
          </w:p>
        </w:tc>
      </w:tr>
      <w:tr>
        <w:tc>
          <w:tcPr>
            <w:tcW w:type="dxa" w:w="3364"/>
            <w:tcBorders>
              <w:top w:val="nil"/>
              <w:bottom w:val="nil"/>
              <w:left w:val="nil"/>
              <w:right w:val="nil"/>
            </w:tcBorders>
          </w:tcPr>
          <w:p>
            <w:pPr>
              <w:spacing w:after="0"/>
            </w:pPr>
            <w:r/>
            <w:r>
              <w:rPr>
                <w:rFonts w:ascii="Arial" w:hAnsi="Arial"/>
                <w:b w:val="0"/>
                <w:i w:val="0"/>
                <w:sz w:val="15"/>
              </w:rPr>
              <w:t>Work-function run recorded</w:t>
            </w:r>
          </w:p>
        </w:tc>
        <w:tc>
          <w:tcPr>
            <w:tcW w:type="dxa" w:w="3364"/>
            <w:tcBorders>
              <w:top w:val="nil"/>
              <w:bottom w:val="nil"/>
              <w:left w:val="nil"/>
              <w:right w:val="nil"/>
            </w:tcBorders>
          </w:tcPr>
          <w:p>
            <w:pPr>
              <w:spacing w:after="0"/>
            </w:pPr>
            <w:r/>
            <w:r>
              <w:rPr>
                <w:rFonts w:ascii="Arial" w:hAnsi="Arial"/>
                <w:b w:val="0"/>
                <w:i w:val="0"/>
                <w:sz w:val="15"/>
              </w:rPr>
              <w:t>4946f9f</w:t>
            </w:r>
          </w:p>
        </w:tc>
        <w:tc>
          <w:tcPr>
            <w:tcW w:type="dxa" w:w="3364"/>
            <w:tcBorders>
              <w:top w:val="nil"/>
              <w:bottom w:val="nil"/>
              <w:left w:val="nil"/>
              <w:right w:val="nil"/>
            </w:tcBorders>
          </w:tcPr>
          <w:p>
            <w:pPr>
              <w:spacing w:after="0"/>
            </w:pPr>
            <w:r/>
            <w:r>
              <w:rPr>
                <w:rFonts w:ascii="Arial" w:hAnsi="Arial"/>
                <w:b w:val="0"/>
                <w:i w:val="0"/>
                <w:sz w:val="15"/>
              </w:rPr>
              <w:t>2026-10-07 09:35</w:t>
            </w:r>
          </w:p>
        </w:tc>
      </w:tr>
      <w:tr>
        <w:tc>
          <w:tcPr>
            <w:tcW w:type="dxa" w:w="3364"/>
            <w:tcBorders>
              <w:top w:val="nil"/>
              <w:bottom w:val="nil"/>
              <w:left w:val="nil"/>
              <w:right w:val="nil"/>
            </w:tcBorders>
          </w:tcPr>
          <w:p>
            <w:pPr>
              <w:spacing w:after="0"/>
            </w:pPr>
            <w:r/>
            <w:r>
              <w:rPr>
                <w:rFonts w:ascii="Arial" w:hAnsi="Arial"/>
                <w:b w:val="0"/>
                <w:i w:val="0"/>
                <w:sz w:val="15"/>
              </w:rPr>
              <w:t>QoI-preserving baseline run recorded</w:t>
            </w:r>
          </w:p>
        </w:tc>
        <w:tc>
          <w:tcPr>
            <w:tcW w:type="dxa" w:w="3364"/>
            <w:tcBorders>
              <w:top w:val="nil"/>
              <w:bottom w:val="nil"/>
              <w:left w:val="nil"/>
              <w:right w:val="nil"/>
            </w:tcBorders>
          </w:tcPr>
          <w:p>
            <w:pPr>
              <w:spacing w:after="0"/>
            </w:pPr>
            <w:r/>
            <w:r>
              <w:rPr>
                <w:rFonts w:ascii="Arial" w:hAnsi="Arial"/>
                <w:b w:val="0"/>
                <w:i w:val="0"/>
                <w:sz w:val="15"/>
              </w:rPr>
              <w:t>027e69a</w:t>
            </w:r>
          </w:p>
        </w:tc>
        <w:tc>
          <w:tcPr>
            <w:tcW w:type="dxa" w:w="3364"/>
            <w:tcBorders>
              <w:top w:val="nil"/>
              <w:bottom w:val="nil"/>
              <w:left w:val="nil"/>
              <w:right w:val="nil"/>
            </w:tcBorders>
          </w:tcPr>
          <w:p>
            <w:pPr>
              <w:spacing w:after="0"/>
            </w:pPr>
            <w:r/>
            <w:r>
              <w:rPr>
                <w:rFonts w:ascii="Arial" w:hAnsi="Arial"/>
                <w:b w:val="0"/>
                <w:i w:val="0"/>
                <w:sz w:val="15"/>
              </w:rPr>
              <w:t>2026-10-07 13:42</w:t>
            </w:r>
          </w:p>
        </w:tc>
      </w:tr>
      <w:tr>
        <w:tc>
          <w:tcPr>
            <w:tcW w:type="dxa" w:w="3364"/>
            <w:tcBorders>
              <w:top w:val="nil"/>
              <w:bottom w:val="nil"/>
              <w:left w:val="nil"/>
              <w:right w:val="nil"/>
            </w:tcBorders>
          </w:tcPr>
          <w:p>
            <w:pPr>
              <w:spacing w:after="0"/>
            </w:pPr>
            <w:r/>
            <w:r>
              <w:rPr>
                <w:rFonts w:ascii="Arial" w:hAnsi="Arial"/>
                <w:b w:val="0"/>
                <w:i w:val="0"/>
                <w:sz w:val="15"/>
              </w:rPr>
              <w:t>Self-contained joint-storage protocol fixed</w:t>
            </w:r>
          </w:p>
        </w:tc>
        <w:tc>
          <w:tcPr>
            <w:tcW w:type="dxa" w:w="3364"/>
            <w:tcBorders>
              <w:top w:val="nil"/>
              <w:bottom w:val="nil"/>
              <w:left w:val="nil"/>
              <w:right w:val="nil"/>
            </w:tcBorders>
          </w:tcPr>
          <w:p>
            <w:pPr>
              <w:spacing w:after="0"/>
            </w:pPr>
            <w:r/>
            <w:r>
              <w:rPr>
                <w:rFonts w:ascii="Arial" w:hAnsi="Arial"/>
                <w:b w:val="0"/>
                <w:i w:val="0"/>
                <w:sz w:val="15"/>
              </w:rPr>
              <w:t>d084d4a</w:t>
            </w:r>
          </w:p>
        </w:tc>
        <w:tc>
          <w:tcPr>
            <w:tcW w:type="dxa" w:w="3364"/>
            <w:tcBorders>
              <w:top w:val="nil"/>
              <w:bottom w:val="nil"/>
              <w:left w:val="nil"/>
              <w:right w:val="nil"/>
            </w:tcBorders>
          </w:tcPr>
          <w:p>
            <w:pPr>
              <w:spacing w:after="0"/>
            </w:pPr>
            <w:r/>
            <w:r>
              <w:rPr>
                <w:rFonts w:ascii="Arial" w:hAnsi="Arial"/>
                <w:b w:val="0"/>
                <w:i w:val="0"/>
                <w:sz w:val="15"/>
              </w:rPr>
              <w:t>2026-10-12 03:22</w:t>
            </w:r>
          </w:p>
        </w:tc>
      </w:tr>
      <w:tr>
        <w:tc>
          <w:tcPr>
            <w:tcW w:type="dxa" w:w="3364"/>
            <w:tcBorders>
              <w:top w:val="nil"/>
              <w:bottom w:val="nil"/>
              <w:left w:val="nil"/>
              <w:right w:val="nil"/>
            </w:tcBorders>
          </w:tcPr>
          <w:p>
            <w:pPr>
              <w:spacing w:after="0"/>
            </w:pPr>
            <w:r/>
            <w:r>
              <w:rPr>
                <w:rFonts w:ascii="Arial" w:hAnsi="Arial"/>
                <w:b w:val="0"/>
                <w:i w:val="0"/>
                <w:sz w:val="15"/>
              </w:rPr>
              <w:t>Self-contained joint-storage run recorded</w:t>
            </w:r>
          </w:p>
        </w:tc>
        <w:tc>
          <w:tcPr>
            <w:tcW w:type="dxa" w:w="3364"/>
            <w:tcBorders>
              <w:top w:val="nil"/>
              <w:bottom w:val="nil"/>
              <w:left w:val="nil"/>
              <w:right w:val="nil"/>
            </w:tcBorders>
          </w:tcPr>
          <w:p>
            <w:pPr>
              <w:spacing w:after="0"/>
            </w:pPr>
            <w:r/>
            <w:r>
              <w:rPr>
                <w:rFonts w:ascii="Arial" w:hAnsi="Arial"/>
                <w:b w:val="0"/>
                <w:i w:val="0"/>
                <w:sz w:val="15"/>
              </w:rPr>
              <w:t>3ab3826</w:t>
            </w:r>
          </w:p>
        </w:tc>
        <w:tc>
          <w:tcPr>
            <w:tcW w:type="dxa" w:w="3364"/>
            <w:tcBorders>
              <w:top w:val="nil"/>
              <w:bottom w:val="nil"/>
              <w:left w:val="nil"/>
              <w:right w:val="nil"/>
            </w:tcBorders>
          </w:tcPr>
          <w:p>
            <w:pPr>
              <w:spacing w:after="0"/>
            </w:pPr>
            <w:r/>
            <w:r>
              <w:rPr>
                <w:rFonts w:ascii="Arial" w:hAnsi="Arial"/>
                <w:b w:val="0"/>
                <w:i w:val="0"/>
                <w:sz w:val="15"/>
              </w:rPr>
              <w:t>2026-10-12 03:59</w:t>
            </w:r>
          </w:p>
        </w:tc>
      </w:tr>
      <w:tr>
        <w:tc>
          <w:tcPr>
            <w:tcW w:type="dxa" w:w="3364"/>
            <w:tcBorders>
              <w:top w:val="nil"/>
              <w:bottom w:val="nil"/>
              <w:left w:val="nil"/>
              <w:right w:val="nil"/>
            </w:tcBorders>
          </w:tcPr>
          <w:p>
            <w:pPr>
              <w:spacing w:after="0"/>
            </w:pPr>
            <w:r/>
            <w:r>
              <w:rPr>
                <w:rFonts w:ascii="Arial" w:hAnsi="Arial"/>
                <w:b w:val="0"/>
                <w:i w:val="0"/>
                <w:sz w:val="15"/>
              </w:rPr>
              <w:t>FFCz-baseline protocol fixed</w:t>
            </w:r>
          </w:p>
        </w:tc>
        <w:tc>
          <w:tcPr>
            <w:tcW w:type="dxa" w:w="3364"/>
            <w:tcBorders>
              <w:top w:val="nil"/>
              <w:bottom w:val="nil"/>
              <w:left w:val="nil"/>
              <w:right w:val="nil"/>
            </w:tcBorders>
          </w:tcPr>
          <w:p>
            <w:pPr>
              <w:spacing w:after="0"/>
            </w:pPr>
            <w:r/>
            <w:r>
              <w:rPr>
                <w:rFonts w:ascii="Arial" w:hAnsi="Arial"/>
                <w:b w:val="0"/>
                <w:i w:val="0"/>
                <w:sz w:val="15"/>
              </w:rPr>
              <w:t>8f98f8b</w:t>
            </w:r>
          </w:p>
        </w:tc>
        <w:tc>
          <w:tcPr>
            <w:tcW w:type="dxa" w:w="3364"/>
            <w:tcBorders>
              <w:top w:val="nil"/>
              <w:bottom w:val="nil"/>
              <w:left w:val="nil"/>
              <w:right w:val="nil"/>
            </w:tcBorders>
          </w:tcPr>
          <w:p>
            <w:pPr>
              <w:spacing w:after="0"/>
            </w:pPr>
            <w:r/>
            <w:r>
              <w:rPr>
                <w:rFonts w:ascii="Arial" w:hAnsi="Arial"/>
                <w:b w:val="0"/>
                <w:i w:val="0"/>
                <w:sz w:val="15"/>
              </w:rPr>
              <w:t>2026-10-12 05:09</w:t>
            </w:r>
          </w:p>
        </w:tc>
      </w:tr>
      <w:tr>
        <w:tc>
          <w:tcPr>
            <w:tcW w:type="dxa" w:w="3364"/>
            <w:tcBorders>
              <w:top w:val="nil"/>
              <w:bottom w:val="nil"/>
              <w:left w:val="nil"/>
              <w:right w:val="nil"/>
            </w:tcBorders>
          </w:tcPr>
          <w:p>
            <w:pPr>
              <w:spacing w:after="0"/>
            </w:pPr>
            <w:r/>
            <w:r>
              <w:rPr>
                <w:rFonts w:ascii="Arial" w:hAnsi="Arial"/>
                <w:b w:val="0"/>
                <w:i w:val="0"/>
                <w:sz w:val="15"/>
              </w:rPr>
              <w:t>Hartree-archive protocol fixed</w:t>
            </w:r>
          </w:p>
        </w:tc>
        <w:tc>
          <w:tcPr>
            <w:tcW w:type="dxa" w:w="3364"/>
            <w:tcBorders>
              <w:top w:val="nil"/>
              <w:bottom w:val="nil"/>
              <w:left w:val="nil"/>
              <w:right w:val="nil"/>
            </w:tcBorders>
          </w:tcPr>
          <w:p>
            <w:pPr>
              <w:spacing w:after="0"/>
            </w:pPr>
            <w:r/>
            <w:r>
              <w:rPr>
                <w:rFonts w:ascii="Arial" w:hAnsi="Arial"/>
                <w:b w:val="0"/>
                <w:i w:val="0"/>
                <w:sz w:val="15"/>
              </w:rPr>
              <w:t>9959c07</w:t>
            </w:r>
          </w:p>
        </w:tc>
        <w:tc>
          <w:tcPr>
            <w:tcW w:type="dxa" w:w="3364"/>
            <w:tcBorders>
              <w:top w:val="nil"/>
              <w:bottom w:val="nil"/>
              <w:left w:val="nil"/>
              <w:right w:val="nil"/>
            </w:tcBorders>
          </w:tcPr>
          <w:p>
            <w:pPr>
              <w:spacing w:after="0"/>
            </w:pPr>
            <w:r/>
            <w:r>
              <w:rPr>
                <w:rFonts w:ascii="Arial" w:hAnsi="Arial"/>
                <w:b w:val="0"/>
                <w:i w:val="0"/>
                <w:sz w:val="15"/>
              </w:rPr>
              <w:t>2026-10-12 05:11</w:t>
            </w:r>
          </w:p>
        </w:tc>
      </w:tr>
      <w:tr>
        <w:tc>
          <w:tcPr>
            <w:tcW w:type="dxa" w:w="3364"/>
            <w:tcBorders>
              <w:top w:val="nil"/>
              <w:bottom w:val="nil"/>
              <w:left w:val="nil"/>
              <w:right w:val="nil"/>
            </w:tcBorders>
          </w:tcPr>
          <w:p>
            <w:pPr>
              <w:spacing w:after="0"/>
            </w:pPr>
            <w:r/>
            <w:r>
              <w:rPr>
                <w:rFonts w:ascii="Arial" w:hAnsi="Arial"/>
                <w:b w:val="0"/>
                <w:i w:val="0"/>
                <w:sz w:val="15"/>
              </w:rPr>
              <w:t>Deployment-cost protocol fixed (amended after the probe)</w:t>
            </w:r>
          </w:p>
        </w:tc>
        <w:tc>
          <w:tcPr>
            <w:tcW w:type="dxa" w:w="3364"/>
            <w:tcBorders>
              <w:top w:val="nil"/>
              <w:bottom w:val="nil"/>
              <w:left w:val="nil"/>
              <w:right w:val="nil"/>
            </w:tcBorders>
          </w:tcPr>
          <w:p>
            <w:pPr>
              <w:spacing w:after="0"/>
            </w:pPr>
            <w:r/>
            <w:r>
              <w:rPr>
                <w:rFonts w:ascii="Arial" w:hAnsi="Arial"/>
                <w:b w:val="0"/>
                <w:i w:val="0"/>
                <w:sz w:val="15"/>
              </w:rPr>
              <w:t>ef45ab2</w:t>
            </w:r>
          </w:p>
        </w:tc>
        <w:tc>
          <w:tcPr>
            <w:tcW w:type="dxa" w:w="3364"/>
            <w:tcBorders>
              <w:top w:val="nil"/>
              <w:bottom w:val="nil"/>
              <w:left w:val="nil"/>
              <w:right w:val="nil"/>
            </w:tcBorders>
          </w:tcPr>
          <w:p>
            <w:pPr>
              <w:spacing w:after="0"/>
            </w:pPr>
            <w:r/>
            <w:r>
              <w:rPr>
                <w:rFonts w:ascii="Arial" w:hAnsi="Arial"/>
                <w:b w:val="0"/>
                <w:i w:val="0"/>
                <w:sz w:val="15"/>
              </w:rPr>
              <w:t>2026-10-12 06:30</w:t>
            </w:r>
          </w:p>
        </w:tc>
      </w:tr>
      <w:tr>
        <w:tc>
          <w:tcPr>
            <w:tcW w:type="dxa" w:w="3364"/>
            <w:tcBorders>
              <w:top w:val="nil"/>
              <w:bottom w:val="nil"/>
              <w:left w:val="nil"/>
              <w:right w:val="nil"/>
            </w:tcBorders>
          </w:tcPr>
          <w:p>
            <w:pPr>
              <w:spacing w:after="0"/>
            </w:pPr>
            <w:r/>
            <w:r>
              <w:rPr>
                <w:rFonts w:ascii="Arial" w:hAnsi="Arial"/>
                <w:b w:val="0"/>
                <w:i w:val="0"/>
                <w:sz w:val="15"/>
              </w:rPr>
              <w:t>Deployment-cost run recorded</w:t>
            </w:r>
          </w:p>
        </w:tc>
        <w:tc>
          <w:tcPr>
            <w:tcW w:type="dxa" w:w="3364"/>
            <w:tcBorders>
              <w:top w:val="nil"/>
              <w:bottom w:val="nil"/>
              <w:left w:val="nil"/>
              <w:right w:val="nil"/>
            </w:tcBorders>
          </w:tcPr>
          <w:p>
            <w:pPr>
              <w:spacing w:after="0"/>
            </w:pPr>
            <w:r/>
            <w:r>
              <w:rPr>
                <w:rFonts w:ascii="Arial" w:hAnsi="Arial"/>
                <w:b w:val="0"/>
                <w:i w:val="0"/>
                <w:sz w:val="15"/>
              </w:rPr>
              <w:t>2ee1dab</w:t>
            </w:r>
          </w:p>
        </w:tc>
        <w:tc>
          <w:tcPr>
            <w:tcW w:type="dxa" w:w="3364"/>
            <w:tcBorders>
              <w:top w:val="nil"/>
              <w:bottom w:val="nil"/>
              <w:left w:val="nil"/>
              <w:right w:val="nil"/>
            </w:tcBorders>
          </w:tcPr>
          <w:p>
            <w:pPr>
              <w:spacing w:after="0"/>
            </w:pPr>
            <w:r/>
            <w:r>
              <w:rPr>
                <w:rFonts w:ascii="Arial" w:hAnsi="Arial"/>
                <w:b w:val="0"/>
                <w:i w:val="0"/>
                <w:sz w:val="15"/>
              </w:rPr>
              <w:t>2026-10-12 07:35</w:t>
            </w:r>
          </w:p>
        </w:tc>
      </w:tr>
      <w:tr>
        <w:tc>
          <w:tcPr>
            <w:tcW w:type="dxa" w:w="3364"/>
            <w:tcBorders>
              <w:top w:val="nil"/>
              <w:bottom w:val="nil"/>
              <w:left w:val="nil"/>
              <w:right w:val="nil"/>
            </w:tcBorders>
          </w:tcPr>
          <w:p>
            <w:pPr>
              <w:spacing w:after="0"/>
            </w:pPr>
            <w:r/>
            <w:r>
              <w:rPr>
                <w:rFonts w:ascii="Arial" w:hAnsi="Arial"/>
                <w:b w:val="0"/>
                <w:i w:val="0"/>
                <w:sz w:val="15"/>
              </w:rPr>
              <w:t>Hartree-archive run recorded</w:t>
            </w:r>
          </w:p>
        </w:tc>
        <w:tc>
          <w:tcPr>
            <w:tcW w:type="dxa" w:w="3364"/>
            <w:tcBorders>
              <w:top w:val="nil"/>
              <w:bottom w:val="nil"/>
              <w:left w:val="nil"/>
              <w:right w:val="nil"/>
            </w:tcBorders>
          </w:tcPr>
          <w:p>
            <w:pPr>
              <w:spacing w:after="0"/>
            </w:pPr>
            <w:r/>
            <w:r>
              <w:rPr>
                <w:rFonts w:ascii="Arial" w:hAnsi="Arial"/>
                <w:b w:val="0"/>
                <w:i w:val="0"/>
                <w:sz w:val="15"/>
              </w:rPr>
              <w:t>81ba218</w:t>
            </w:r>
          </w:p>
        </w:tc>
        <w:tc>
          <w:tcPr>
            <w:tcW w:type="dxa" w:w="3364"/>
            <w:tcBorders>
              <w:top w:val="nil"/>
              <w:bottom w:val="nil"/>
              <w:left w:val="nil"/>
              <w:right w:val="nil"/>
            </w:tcBorders>
          </w:tcPr>
          <w:p>
            <w:pPr>
              <w:spacing w:after="0"/>
            </w:pPr>
            <w:r/>
            <w:r>
              <w:rPr>
                <w:rFonts w:ascii="Arial" w:hAnsi="Arial"/>
                <w:b w:val="0"/>
                <w:i w:val="0"/>
                <w:sz w:val="15"/>
              </w:rPr>
              <w:t>2026-10-17 03:29</w:t>
            </w:r>
          </w:p>
        </w:tc>
      </w:tr>
      <w:tr>
        <w:tc>
          <w:tcPr>
            <w:tcW w:type="dxa" w:w="3364"/>
            <w:tcBorders>
              <w:top w:val="nil"/>
              <w:bottom w:val="nil"/>
              <w:left w:val="nil"/>
              <w:right w:val="nil"/>
            </w:tcBorders>
          </w:tcPr>
          <w:p>
            <w:pPr>
              <w:spacing w:after="0"/>
            </w:pPr>
            <w:r/>
            <w:r>
              <w:rPr>
                <w:rFonts w:ascii="Arial" w:hAnsi="Arial"/>
                <w:b w:val="0"/>
                <w:i w:val="0"/>
                <w:sz w:val="15"/>
              </w:rPr>
              <w:t>FFCz-baseline run recorded</w:t>
            </w:r>
          </w:p>
        </w:tc>
        <w:tc>
          <w:tcPr>
            <w:tcW w:type="dxa" w:w="3364"/>
            <w:tcBorders>
              <w:top w:val="nil"/>
              <w:bottom w:val="nil"/>
              <w:left w:val="nil"/>
              <w:right w:val="nil"/>
            </w:tcBorders>
          </w:tcPr>
          <w:p>
            <w:pPr>
              <w:spacing w:after="0"/>
            </w:pPr>
            <w:r/>
            <w:r>
              <w:rPr>
                <w:rFonts w:ascii="Arial" w:hAnsi="Arial"/>
                <w:b w:val="0"/>
                <w:i w:val="0"/>
                <w:sz w:val="15"/>
              </w:rPr>
              <w:t>eaf7427</w:t>
            </w:r>
          </w:p>
        </w:tc>
        <w:tc>
          <w:tcPr>
            <w:tcW w:type="dxa" w:w="3364"/>
            <w:tcBorders>
              <w:top w:val="nil"/>
              <w:bottom w:val="nil"/>
              <w:left w:val="nil"/>
              <w:right w:val="nil"/>
            </w:tcBorders>
          </w:tcPr>
          <w:p>
            <w:pPr>
              <w:spacing w:after="0"/>
            </w:pPr>
            <w:r/>
            <w:r>
              <w:rPr>
                <w:rFonts w:ascii="Arial" w:hAnsi="Arial"/>
                <w:b w:val="0"/>
                <w:i w:val="0"/>
                <w:sz w:val="15"/>
              </w:rPr>
              <w:t>2026-10-22 04:28</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protocols fixed</w:t>
            </w:r>
          </w:p>
        </w:tc>
        <w:tc>
          <w:tcPr>
            <w:tcW w:type="dxa" w:w="3364"/>
            <w:tcBorders>
              <w:top w:val="nil"/>
              <w:bottom w:val="nil"/>
              <w:left w:val="nil"/>
              <w:right w:val="nil"/>
            </w:tcBorders>
          </w:tcPr>
          <w:p>
            <w:pPr>
              <w:spacing w:after="0"/>
            </w:pPr>
            <w:r/>
            <w:r>
              <w:rPr>
                <w:rFonts w:ascii="Arial" w:hAnsi="Arial"/>
                <w:b w:val="0"/>
                <w:i w:val="0"/>
                <w:sz w:val="15"/>
              </w:rPr>
              <w:t>75f091a</w:t>
            </w:r>
          </w:p>
        </w:tc>
        <w:tc>
          <w:tcPr>
            <w:tcW w:type="dxa" w:w="3364"/>
            <w:tcBorders>
              <w:top w:val="nil"/>
              <w:bottom w:val="nil"/>
              <w:left w:val="nil"/>
              <w:right w:val="nil"/>
            </w:tcBorders>
          </w:tcPr>
          <w:p>
            <w:pPr>
              <w:spacing w:after="0"/>
            </w:pPr>
            <w:r/>
            <w:r>
              <w:rPr>
                <w:rFonts w:ascii="Arial" w:hAnsi="Arial"/>
                <w:b w:val="0"/>
                <w:i w:val="0"/>
                <w:sz w:val="15"/>
              </w:rPr>
              <w:t>2026-10-23 16:17</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runs recorded</w:t>
            </w:r>
          </w:p>
        </w:tc>
        <w:tc>
          <w:tcPr>
            <w:tcW w:type="dxa" w:w="3364"/>
            <w:tcBorders>
              <w:top w:val="nil"/>
              <w:bottom w:val="nil"/>
              <w:left w:val="nil"/>
              <w:right w:val="nil"/>
            </w:tcBorders>
          </w:tcPr>
          <w:p>
            <w:pPr>
              <w:spacing w:after="0"/>
            </w:pPr>
            <w:r/>
            <w:r>
              <w:rPr>
                <w:rFonts w:ascii="Arial" w:hAnsi="Arial"/>
                <w:b w:val="0"/>
                <w:i w:val="0"/>
                <w:sz w:val="15"/>
              </w:rPr>
              <w:t>534126e</w:t>
            </w:r>
          </w:p>
        </w:tc>
        <w:tc>
          <w:tcPr>
            <w:tcW w:type="dxa" w:w="3364"/>
            <w:tcBorders>
              <w:top w:val="nil"/>
              <w:bottom w:val="nil"/>
              <w:left w:val="nil"/>
              <w:right w:val="nil"/>
            </w:tcBorders>
          </w:tcPr>
          <w:p>
            <w:pPr>
              <w:spacing w:after="0"/>
            </w:pPr>
            <w:r/>
            <w:r>
              <w:rPr>
                <w:rFonts w:ascii="Arial" w:hAnsi="Arial"/>
                <w:b w:val="0"/>
                <w:i w:val="0"/>
                <w:sz w:val="15"/>
              </w:rPr>
              <w:t>2026-10-24 13:09</w:t>
            </w:r>
          </w:p>
        </w:tc>
      </w:tr>
      <w:tr>
        <w:tc>
          <w:tcPr>
            <w:tcW w:type="dxa" w:w="3364"/>
            <w:tcBorders>
              <w:top w:val="nil"/>
              <w:bottom w:val="nil"/>
              <w:left w:val="nil"/>
              <w:right w:val="nil"/>
            </w:tcBorders>
          </w:tcPr>
          <w:p>
            <w:pPr>
              <w:spacing w:after="0"/>
            </w:pPr>
            <w:r/>
            <w:r>
              <w:rPr>
                <w:rFonts w:ascii="Arial" w:hAnsi="Arial"/>
                <w:b w:val="0"/>
                <w:i w:val="0"/>
                <w:sz w:val="15"/>
              </w:rPr>
              <w:t>Linearized exchange-correlation protocol fixed</w:t>
            </w:r>
          </w:p>
        </w:tc>
        <w:tc>
          <w:tcPr>
            <w:tcW w:type="dxa" w:w="3364"/>
            <w:tcBorders>
              <w:top w:val="nil"/>
              <w:bottom w:val="nil"/>
              <w:left w:val="nil"/>
              <w:right w:val="nil"/>
            </w:tcBorders>
          </w:tcPr>
          <w:p>
            <w:pPr>
              <w:spacing w:after="0"/>
            </w:pPr>
            <w:r/>
            <w:r>
              <w:rPr>
                <w:rFonts w:ascii="Arial" w:hAnsi="Arial"/>
                <w:b w:val="0"/>
                <w:i w:val="0"/>
                <w:sz w:val="15"/>
              </w:rPr>
              <w:t>5e0c052</w:t>
            </w:r>
          </w:p>
        </w:tc>
        <w:tc>
          <w:tcPr>
            <w:tcW w:type="dxa" w:w="3364"/>
            <w:tcBorders>
              <w:top w:val="nil"/>
              <w:bottom w:val="nil"/>
              <w:left w:val="nil"/>
              <w:right w:val="nil"/>
            </w:tcBorders>
          </w:tcPr>
          <w:p>
            <w:pPr>
              <w:spacing w:after="0"/>
            </w:pPr>
            <w:r/>
            <w:r>
              <w:rPr>
                <w:rFonts w:ascii="Arial" w:hAnsi="Arial"/>
                <w:b w:val="0"/>
                <w:i w:val="0"/>
                <w:sz w:val="15"/>
              </w:rPr>
              <w:t>2026-10-24 13:23</w:t>
            </w:r>
          </w:p>
        </w:tc>
      </w:tr>
      <w:tr>
        <w:tc>
          <w:tcPr>
            <w:tcW w:type="dxa" w:w="3364"/>
            <w:tcBorders>
              <w:top w:val="nil"/>
              <w:bottom w:val="nil"/>
              <w:left w:val="nil"/>
              <w:right w:val="nil"/>
            </w:tcBorders>
          </w:tcPr>
          <w:p>
            <w:pPr>
              <w:spacing w:after="0"/>
            </w:pPr>
            <w:r/>
            <w:r>
              <w:rPr>
                <w:rFonts w:ascii="Arial" w:hAnsi="Arial"/>
                <w:b w:val="0"/>
                <w:i w:val="0"/>
                <w:sz w:val="15"/>
              </w:rPr>
              <w:t>Linearized exchange-correlation run recorded</w:t>
            </w:r>
          </w:p>
        </w:tc>
        <w:tc>
          <w:tcPr>
            <w:tcW w:type="dxa" w:w="3364"/>
            <w:tcBorders>
              <w:top w:val="nil"/>
              <w:bottom w:val="nil"/>
              <w:left w:val="nil"/>
              <w:right w:val="nil"/>
            </w:tcBorders>
          </w:tcPr>
          <w:p>
            <w:pPr>
              <w:spacing w:after="0"/>
            </w:pPr>
            <w:r/>
            <w:r>
              <w:rPr>
                <w:rFonts w:ascii="Arial" w:hAnsi="Arial"/>
                <w:b w:val="0"/>
                <w:i w:val="0"/>
                <w:sz w:val="15"/>
              </w:rPr>
              <w:t>b32e6d7</w:t>
            </w:r>
          </w:p>
        </w:tc>
        <w:tc>
          <w:tcPr>
            <w:tcW w:type="dxa" w:w="3364"/>
            <w:tcBorders>
              <w:top w:val="nil"/>
              <w:bottom w:val="nil"/>
              <w:left w:val="nil"/>
              <w:right w:val="nil"/>
            </w:tcBorders>
          </w:tcPr>
          <w:p>
            <w:pPr>
              <w:spacing w:after="0"/>
            </w:pPr>
            <w:r/>
            <w:r>
              <w:rPr>
                <w:rFonts w:ascii="Arial" w:hAnsi="Arial"/>
                <w:b w:val="0"/>
                <w:i w:val="0"/>
                <w:sz w:val="15"/>
              </w:rPr>
              <w:t>2026-10-24 14:05</w:t>
            </w:r>
          </w:p>
        </w:tc>
      </w:tr>
      <w:tr>
        <w:tc>
          <w:tcPr>
            <w:tcW w:type="dxa" w:w="3364"/>
            <w:tcBorders>
              <w:top w:val="nil"/>
              <w:bottom w:val="nil"/>
              <w:left w:val="nil"/>
              <w:right w:val="nil"/>
            </w:tcBorders>
          </w:tcPr>
          <w:p>
            <w:pPr>
              <w:spacing w:after="0"/>
            </w:pPr>
            <w:r/>
            <w:r>
              <w:rPr>
                <w:rFonts w:ascii="Arial" w:hAnsi="Arial"/>
                <w:b w:val="0"/>
                <w:i w:val="0"/>
                <w:sz w:val="15"/>
              </w:rPr>
              <w:t>Water-filling-writer and writer-archive protocols fixed</w:t>
            </w:r>
          </w:p>
        </w:tc>
        <w:tc>
          <w:tcPr>
            <w:tcW w:type="dxa" w:w="3364"/>
            <w:tcBorders>
              <w:top w:val="nil"/>
              <w:bottom w:val="nil"/>
              <w:left w:val="nil"/>
              <w:right w:val="nil"/>
            </w:tcBorders>
          </w:tcPr>
          <w:p>
            <w:pPr>
              <w:spacing w:after="0"/>
            </w:pPr>
            <w:r/>
            <w:r>
              <w:rPr>
                <w:rFonts w:ascii="Arial" w:hAnsi="Arial"/>
                <w:b w:val="0"/>
                <w:i w:val="0"/>
                <w:sz w:val="15"/>
              </w:rPr>
              <w:t>fd5646d</w:t>
            </w:r>
          </w:p>
        </w:tc>
        <w:tc>
          <w:tcPr>
            <w:tcW w:type="dxa" w:w="3364"/>
            <w:tcBorders>
              <w:top w:val="nil"/>
              <w:bottom w:val="nil"/>
              <w:left w:val="nil"/>
              <w:right w:val="nil"/>
            </w:tcBorders>
          </w:tcPr>
          <w:p>
            <w:pPr>
              <w:spacing w:after="0"/>
            </w:pPr>
            <w:r/>
            <w:r>
              <w:rPr>
                <w:rFonts w:ascii="Arial" w:hAnsi="Arial"/>
                <w:b w:val="0"/>
                <w:i w:val="0"/>
                <w:sz w:val="15"/>
              </w:rPr>
              <w:t>2026-10-25 09:34</w:t>
            </w:r>
          </w:p>
        </w:tc>
      </w:tr>
      <w:tr>
        <w:tc>
          <w:tcPr>
            <w:tcW w:type="dxa" w:w="3364"/>
            <w:tcBorders>
              <w:top w:val="nil"/>
              <w:bottom w:val="single" w:sz="6" w:color="1B1B1B"/>
              <w:left w:val="nil"/>
              <w:right w:val="nil"/>
            </w:tcBorders>
          </w:tcPr>
          <w:p>
            <w:pPr>
              <w:spacing w:after="0"/>
            </w:pPr>
            <w:r/>
            <w:r>
              <w:rPr>
                <w:rFonts w:ascii="Arial" w:hAnsi="Arial"/>
                <w:b w:val="0"/>
                <w:i w:val="0"/>
                <w:sz w:val="15"/>
              </w:rPr>
              <w:t>Water-filling-writer and writer-archive runs recorded</w:t>
            </w:r>
          </w:p>
        </w:tc>
        <w:tc>
          <w:tcPr>
            <w:tcW w:type="dxa" w:w="3364"/>
            <w:tcBorders>
              <w:top w:val="nil"/>
              <w:bottom w:val="single" w:sz="6" w:color="1B1B1B"/>
              <w:left w:val="nil"/>
              <w:right w:val="nil"/>
            </w:tcBorders>
          </w:tcPr>
          <w:p>
            <w:pPr>
              <w:spacing w:after="0"/>
            </w:pPr>
            <w:r/>
            <w:r>
              <w:rPr>
                <w:rFonts w:ascii="Arial" w:hAnsi="Arial"/>
                <w:b w:val="0"/>
                <w:i w:val="0"/>
                <w:sz w:val="15"/>
              </w:rPr>
              <w:t>7880324</w:t>
            </w:r>
          </w:p>
        </w:tc>
        <w:tc>
          <w:tcPr>
            <w:tcW w:type="dxa" w:w="3364"/>
            <w:tcBorders>
              <w:top w:val="nil"/>
              <w:bottom w:val="single" w:sz="6" w:color="1B1B1B"/>
              <w:left w:val="nil"/>
              <w:right w:val="nil"/>
            </w:tcBorders>
          </w:tcPr>
          <w:p>
            <w:pPr>
              <w:spacing w:after="0"/>
            </w:pPr>
            <w:r/>
            <w:r>
              <w:rPr>
                <w:rFonts w:ascii="Arial" w:hAnsi="Arial"/>
                <w:b w:val="0"/>
                <w:i w:val="0"/>
                <w:sz w:val="15"/>
              </w:rPr>
              <w:t>2026-10-25 12:48</w:t>
            </w:r>
          </w:p>
        </w:tc>
      </w:tr>
    </w:tbl>
    <w:p>
      <w:pPr>
        <w:spacing w:after="40"/>
      </w:pPr>
    </w:p>
    <w:p>
      <w:pPr>
        <w:keepNext/>
        <w:spacing w:before="200" w:after="80"/>
      </w:pPr>
      <w:r>
        <w:rPr>
          <w:rFonts w:ascii="Arial" w:hAnsi="Arial"/>
          <w:b/>
          <w:i w:val="0"/>
          <w:sz w:val="20"/>
        </w:rPr>
        <w:t>Water-filling writer</w:t>
      </w:r>
    </w:p>
    <w:p>
      <w:pPr>
        <w:spacing w:after="120"/>
        <w:jc w:val="both"/>
      </w:pPr>
      <w:r>
        <w:rPr>
          <w:rFonts w:ascii="Arial" w:hAnsi="Arial"/>
          <w:b w:val="0"/>
          <w:i w:val="0"/>
          <w:sz w:val="20"/>
        </w:rPr>
        <w:t xml:space="preserve">The writer keeps the 32 Hermitian-orbit shells. The water-filling law uses the law's steps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writes shell </w:t>
      </w:r>
      <m:oMath>
        <m:r>
          <w:rPr>
            <w:rFonts w:ascii="Cambria Math" w:hAnsi="Cambria Math" w:cs="Cambria Math" w:eastAsia="Cambria Math"/>
            <w:sz w:val="20"/>
            <w:szCs w:val="20"/>
          </w:rPr>
          <m:t xml:space="preserve">s</m:t>
        </m:r>
      </m:oMath>
      <w:r>
        <w:rPr>
          <w:rFonts w:ascii="Arial" w:hAnsi="Arial"/>
          <w:b w:val="0"/>
          <w:i w:val="0"/>
          <w:sz w:val="20"/>
        </w:rPr>
        <w:t xml:space="preserve"> only if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&gt;</m:t>
        </m:r>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oMath>
      <w:r>
        <w:rPr>
          <w:rFonts w:ascii="Arial" w:hAnsi="Arial"/>
          <w:b w:val="0"/>
          <w:i w:val="0"/>
          <w:sz w:val="20"/>
        </w:rPr>
        <w:t xml:space="preserve">, with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c</m:t>
            </m:r>
          </m:e>
          <m:sub>
            <m:r>
              <w:rPr>
                <w:rFonts w:ascii="Cambria Math" w:hAnsi="Cambria Math" w:cs="Cambria Math" w:eastAsia="Cambria Math"/>
                <w:sz w:val="20"/>
                <w:szCs w:val="20"/>
              </w:rPr>
              <m:t xml:space="preserve">k</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its operator-weighted energy and </w:t>
      </w:r>
      <m:oMath>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the operator-weighted rounding noise (</w:t>
      </w:r>
      <m:oMath>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oMath>
      <w:r>
        <w:rPr>
          <w:rFonts w:ascii="Arial" w:hAnsi="Arial"/>
          <w:b w:val="0"/>
          <w:i w:val="0"/>
          <w:sz w:val="20"/>
        </w:rPr>
        <w:t xml:space="preserve"> orbit multiplicity, </w:t>
      </w:r>
      <m:oMath>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oMath>
      <w:r>
        <w:rPr>
          <w:rFonts w:ascii="Arial" w:hAnsi="Arial"/>
          <w:b w:val="0"/>
          <w:i w:val="0"/>
          <w:sz w:val="20"/>
        </w:rPr>
        <w:t xml:space="preserve"> real parts per orbit); </w:t>
      </w:r>
      <m:oMath>
        <m:r>
          <w:rPr>
            <w:rFonts w:ascii="Cambria Math" w:hAnsi="Cambria Math" w:cs="Cambria Math" w:eastAsia="Cambria Math"/>
            <w:sz w:val="20"/>
            <w:szCs w:val="20"/>
          </w:rPr>
          <m:t xml:space="preserve">α</m:t>
        </m:r>
      </m:oMath>
      <w:r>
        <w:rPr>
          <w:rFonts w:ascii="Arial" w:hAnsi="Arial"/>
          <w:b w:val="0"/>
          <w:i w:val="0"/>
          <w:sz w:val="20"/>
        </w:rPr>
        <w:t xml:space="preserve"> is bisected as for A1. Space-group operations from spglib⁴² that map the grid onto itself and hold on the density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oMath>
      <w:r>
        <w:rPr>
          <w:rFonts w:ascii="Arial" w:hAnsi="Arial"/>
          <w:b w:val="0"/>
          <w:i w:val="0"/>
          <w:sz w:val="20"/>
        </w:rPr>
        <w:t xml:space="preserve"> of its range predict each member of a symmetry star from the star's first member in the same shell; members are coded as rounded residuals. Each shell is coded by a context-adaptive binary arithmetic coder⁴³ or by zlib, whichever is smaller, under a binary header. Truncation and operational allocation ran in the same writer with the A2 and A3 searches (Supplementary Note 3).</w:t>
      </w: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 xml:space="preserve">The joint contract requires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(historical and Nyquist-safe) on the final stream and, with Henkelman Bader 1.05 and the exact AECCAR0 + AECCAR2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Every base (R3, J, T1, GF) received the same post-processors; the best certified one per material,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base is reported, with bytes including payload, side channel and flag. Self-contained storage adds the exact-partition atom-index map as xz-compressed 16-bit labels (Supplementary Note 5).</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20261025 for the writer). Acceptance criteria are listed in Supplementary Notes 3 and 5.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2026-10-06);⁴⁰ surface slabs are NOMAD VASP entries retrieved through the public NOMAD API;⁴¹ the external QSQ cohort also uses AFLOW densities.⁴⁴ Every manifest records identifier, URL, byte count and SHA-256. Derived results, protocols and analysis scripts are in the research repository at https://github.com/stloendays/QoI. An archival release of the repository, with data, code and reproducibility manifests, will be deposited with a DOI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Source code for QSQ, operator-aware coding, certification and figure regeneration is available in the GitHub repository above. Its archival release and DOI are given under Data availability.</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Perdew, J. P., Burke, K. &amp; Ernzerhof, M. Generalized gradient approximation made simple. </w:t>
      </w:r>
      <w:r>
        <w:rPr>
          <w:rFonts w:ascii="Arial" w:hAnsi="Arial"/>
          <w:b w:val="0"/>
          <w:i/>
          <w:sz w:val="17"/>
        </w:rPr>
        <w:t>Phys. Rev. Lett.</w:t>
      </w:r>
      <w:r>
        <w:rPr>
          <w:rFonts w:ascii="Arial" w:hAnsi="Arial"/>
          <w:b w:val="0"/>
          <w:i w:val="0"/>
          <w:sz w:val="17"/>
        </w:rPr>
        <w:t xml:space="preserve"> </w:t>
      </w:r>
      <w:r>
        <w:rPr>
          <w:rFonts w:ascii="Arial" w:hAnsi="Arial"/>
          <w:b/>
          <w:i w:val="0"/>
          <w:sz w:val="17"/>
        </w:rPr>
        <w:t>77</w:t>
      </w:r>
      <w:r>
        <w:rPr>
          <w:rFonts w:ascii="Arial" w:hAnsi="Arial"/>
          <w:b w:val="0"/>
          <w:i w:val="0"/>
          <w:sz w:val="17"/>
        </w:rPr>
        <w:t>, 3865–3868 (1996).</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Togo, A., Shinohara, K. &amp; Tanaka, I. Spglib: a software library for crystal symmetry search. </w:t>
      </w:r>
      <w:r>
        <w:rPr>
          <w:rFonts w:ascii="Arial" w:hAnsi="Arial"/>
          <w:b w:val="0"/>
          <w:i/>
          <w:sz w:val="17"/>
        </w:rPr>
        <w:t>Sci. Technol. Adv. Mater. Methods</w:t>
      </w:r>
      <w:r>
        <w:rPr>
          <w:rFonts w:ascii="Arial" w:hAnsi="Arial"/>
          <w:b w:val="0"/>
          <w:i w:val="0"/>
          <w:sz w:val="17"/>
        </w:rPr>
        <w:t xml:space="preserve"> </w:t>
      </w:r>
      <w:r>
        <w:rPr>
          <w:rFonts w:ascii="Arial" w:hAnsi="Arial"/>
          <w:b/>
          <w:i w:val="0"/>
          <w:sz w:val="17"/>
        </w:rPr>
        <w:t>4</w:t>
      </w:r>
      <w:r>
        <w:rPr>
          <w:rFonts w:ascii="Arial" w:hAnsi="Arial"/>
          <w:b w:val="0"/>
          <w:i w:val="0"/>
          <w:sz w:val="17"/>
        </w:rPr>
        <w:t>, 2384822 (2024).</w:t>
      </w:r>
    </w:p>
    <w:p>
      <w:pPr>
        <w:pStyle w:val="ListNumber"/>
        <w:spacing w:after="40"/>
      </w:pPr>
      <w:r>
        <w:rPr>
          <w:rFonts w:ascii="Arial" w:hAnsi="Arial"/>
          <w:b w:val="0"/>
          <w:i w:val="0"/>
          <w:sz w:val="17"/>
        </w:rPr>
        <w:t xml:space="preserve">Witten, I. H., Neal, R. M. &amp; Cleary, J. G. Arithmetic coding for data compression. </w:t>
      </w:r>
      <w:r>
        <w:rPr>
          <w:rFonts w:ascii="Arial" w:hAnsi="Arial"/>
          <w:b w:val="0"/>
          <w:i/>
          <w:sz w:val="17"/>
        </w:rPr>
        <w:t>Commun. ACM</w:t>
      </w:r>
      <w:r>
        <w:rPr>
          <w:rFonts w:ascii="Arial" w:hAnsi="Arial"/>
          <w:b w:val="0"/>
          <w:i w:val="0"/>
          <w:sz w:val="17"/>
        </w:rPr>
        <w:t xml:space="preserve"> </w:t>
      </w:r>
      <w:r>
        <w:rPr>
          <w:rFonts w:ascii="Arial" w:hAnsi="Arial"/>
          <w:b/>
          <w:i w:val="0"/>
          <w:sz w:val="17"/>
        </w:rPr>
        <w:t>30</w:t>
      </w:r>
      <w:r>
        <w:rPr>
          <w:rFonts w:ascii="Arial" w:hAnsi="Arial"/>
          <w:b w:val="0"/>
          <w:i w:val="0"/>
          <w:sz w:val="17"/>
        </w:rPr>
        <w:t>, 520–540 (1987).</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