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 density can be compressed. QoI Stability Qualification screens the measurement contract: in 254 densities, five probes separated fresh Bader exceedance risks of 1.6% and 81.3% in qualified and rejected materials. For linear operators, the reciprocal-space symbol prescribes the allocation and predicts its gain beforehand (Spearman 0.98 on new materials), and the linearized exchange-correlation energy takes nearly the Hartree allocation. For the Hartree potential, the law certified 6.3–9.5-fold more than QoI-preserving QPET and over 20-fold more than Fourier-corrected FFCz. With structure-factor prediction and an operator-weighted magnetization stream, certified storage would shrink the 8.50 TB Materials Project archive 1,401-fold, against 35-fold for pointwise codecs.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the scientific result is rarely the density itself but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Whether the reference analysis can resolve the declared tolerance is left open.</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QoI Stability Qualification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therefore makes Bader charges scorable and defines the Bader contract used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The total density is stored certified where eligible and losslessly otherwise, the magnetization density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so certification supplies the gain, 5.35-fold over it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and the operator supplies the weight and the certificate. A fixed-ladder version was confirmed on 48 further crystals and a 254-material census (Supplementary Note 2).</w:t>
      </w:r>
    </w:p>
    <w:p>
      <w:pPr>
        <w:spacing w:after="120"/>
        <w:jc w:val="both"/>
      </w:pPr>
      <w:r>
        <w:rPr>
          <w:rFonts w:ascii="Arial" w:hAnsi="Arial"/>
          <w:b w:val="0"/>
          <w:i w:val="0"/>
          <w:sz w:val="20"/>
        </w:rPr>
        <w:t xml:space="preserve">On one density (KCN, the material of Figs. 1a and 3e) the law can be followed shell by shell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reference coefficients fall below the step and quantize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stays nearly flat, the law's equal-distortion signature, whereas uniform steps spread it over five orders of magnitude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QPET¹⁰ and MGARD⁸ received the same search and certificate on the same 92 materials. QPET bounds local quantities, so it bounded the closest one, the block average of the density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Fourier correction of a pointwise stream does not recover the Hartree weight either. FFCz,¹⁶ which corrects ZFP, SZ3 or SPERR reconstructions to a frequency-domain bound, received the same search and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grows at tight tolerances,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most coefficients fall in the quantizer's dead zone, where low-rate transform-coding theory replaces the high-rate law,³¹,³² and truncation certifies more (0.79 and 0.69), because a byte-wise coder pays for every zero that truncation omits. Reverse water-filling, the low-rate solution, keeps the closed form: it writes a shell only when its operator-weighted energy exceeds the law's rounding noise, </w:t>
      </w:r>
      <m:oMath>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per real component (Methods). With adaptive arithmetic coding in one writer, the water-filling law exceeded truncation in 92/92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(median 1.34-fold)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(1.45-fold)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Adaptive arithmetic coding and a binary header added 1.34-fold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(2.51-fold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space-group symmetry, coding each star as one representative plus phase-predicted residuals, a further median 1.91-fold. The water-filling writer certified 2.34-fold more than operational allocation in the zlib container (95% CI 2.14–2.69; 92/92) and 35.7-fold more than the best pointwise codec (Fig. 6d; Supplementary Note 3).</w:t>
      </w:r>
    </w:p>
    <w:p>
      <w:pPr>
        <w:keepNext/>
        <w:spacing w:before="200"/>
        <w:jc w:val="center"/>
      </w:pPr>
      <w:r>
        <w:drawing>
          <wp:inline xmlns:a="http://schemas.openxmlformats.org/drawingml/2006/main" xmlns:pic="http://schemas.openxmlformats.org/drawingml/2006/picture">
            <wp:extent cx="6408000" cy="462289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462289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 and the writers carry it to archive scale.</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xml:space="preserve">, A3/A1 per material at three tolerances; dashed line, near-optimality threshold 1.15. Bars, medians; whiskers, bootstrap 95% CIs. </w:t>
      </w:r>
      <w:r>
        <w:rPr>
          <w:rFonts w:ascii="Arial" w:hAnsi="Arial"/>
          <w:b/>
          <w:i w:val="0"/>
          <w:sz w:val="16"/>
        </w:rPr>
        <w:t>d</w:t>
      </w:r>
      <w:r>
        <w:rPr>
          <w:rFonts w:ascii="Arial" w:hAnsi="Arial"/>
          <w:b w:val="0"/>
          <w:i w:val="0"/>
          <w:sz w:val="16"/>
        </w:rPr>
        <w:t xml:space="preserve">, Left, certified CR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along operational allocation in the zlib container (A3), the water-filling writer and the predictive writer; labels give the median per-material ratio between rungs. Right, whole-object reduction of the 8.50 TB Materials Project archive under each writer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(filled)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(open); bars, paired-bootstrap 95% CIs.</w:t>
      </w:r>
    </w:p>
    <w:p>
      <w:pPr>
        <w:spacing w:after="120"/>
        <w:jc w:val="both"/>
      </w:pPr>
      <w:r>
        <w:rPr>
          <w:rFonts w:ascii="Arial" w:hAnsi="Arial"/>
          <w:b w:val="0"/>
          <w:i w:val="0"/>
          <w:sz w:val="20"/>
        </w:rPr>
        <w:t xml:space="preserve">Structure factors predict what symmetry cannot. A crystal density is to leading order a sum of atomic densities, so the predictive writer predicts each shell's coefficients from the structure factors of the stored atoms and codes the residual (Methods). On the 92 materials it certified a median 1.95-fold more than the water-filling writer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(95% CI 1.79–2.07; 89/92) and 1.28-fold more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gain is largest where symmetry gives least: 2.40-fold on the 18 cells with one symmetry operation, 1.06-fold above 24 operations. Operational allocation on the residual certified no more than the closed form (median ratio 0.995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0.947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the predictive writer certified 4.47-fold more than operational allocation in the zlib container (Supplementary Note 4).</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magnetization density </w:t>
      </w:r>
      <m:oMath>
        <m:r>
          <w:rPr>
            <w:rFonts w:ascii="Cambria Math" w:hAnsi="Cambria Math" w:cs="Cambria Math" w:eastAsia="Cambria Math"/>
            <w:sz w:val="20"/>
            <w:szCs w:val="20"/>
          </w:rPr>
          <m:t xml:space="preserve">m</m:t>
        </m:r>
      </m:oMath>
      <w:r>
        <w:rPr>
          <w:rFonts w:ascii="Arial" w:hAnsi="Arial"/>
          <w:b w:val="0"/>
          <w:i w:val="0"/>
          <w:sz w:val="20"/>
        </w:rPr>
        <w:t xml:space="preserve"> is scored by per-atom moments, sums of </w:t>
      </w:r>
      <m:oMath>
        <m:r>
          <w:rPr>
            <w:rFonts w:ascii="Cambria Math" w:hAnsi="Cambria Math" w:cs="Cambria Math" w:eastAsia="Cambria Math"/>
            <w:sz w:val="20"/>
            <w:szCs w:val="20"/>
          </w:rPr>
          <m:t xml:space="preserve">m</m:t>
        </m:r>
      </m:oMath>
      <w:r>
        <w:rPr>
          <w:rFonts w:ascii="Arial" w:hAnsi="Arial"/>
          <w:b w:val="0"/>
          <w:i w:val="0"/>
          <w:sz w:val="20"/>
        </w:rPr>
        <w:t xml:space="preserve"> over the Bader basins of the decoded density, whose operator weight is the spectrum of the basin indicators. On the decoded partitions this spectrum falls as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2.96</m:t>
            </m:r>
          </m:sup>
        </m:sSup>
      </m:oMath>
      <w:r>
        <w:rPr>
          <w:rFonts w:ascii="Arial" w:hAnsi="Arial"/>
          <w:b w:val="0"/>
          <w:i w:val="0"/>
          <w:sz w:val="20"/>
        </w:rPr>
        <w:t xml:space="preserve"> (median over 299 objects; Porod's law gives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for sharp basins), close to the Hartree weight, so the magnetization writer applies the Hartree law's steps, scaled by the moment certificate (Methods). With the total density written by the predictive writer and </w:t>
      </w:r>
      <m:oMath>
        <m:r>
          <w:rPr>
            <w:rFonts w:ascii="Cambria Math" w:hAnsi="Cambria Math" w:cs="Cambria Math" w:eastAsia="Cambria Math"/>
            <w:sz w:val="20"/>
            <w:szCs w:val="20"/>
          </w:rPr>
          <m:t xml:space="preserve">m</m:t>
        </m:r>
      </m:oMath>
      <w:r>
        <w:rPr>
          <w:rFonts w:ascii="Arial" w:hAnsi="Arial"/>
          <w:b w:val="0"/>
          <w:i w:val="0"/>
          <w:sz w:val="20"/>
        </w:rPr>
        <w:t xml:space="preserve"> by the magnetization writer, the archive shrinks from 8.50 TB to an estimated 6.1 GB, 1,401-fold (95% CI 1,245–1,594) and 2.52-fold (2.38–2.68) the water-filling writer's 555-fold, against 347-fold for operational allocation in the zlib container, 316-fold for the closed-form law, 232-fold for truncation and 34.6-fold for the best pointwise codec. Density prediction contributed 1.74-fold and the magnetization writer 1.45-fold.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archive shrinks 4,719-fold (3,585–6,052), against 1,735-fold for the water-filling writer and 1,325-fold for operational allocation. Here the magnetization writer carries the gain (2.40-fold): it stored a median 63 bytes per object against 3,174 for the best pointwise codec (smaller in 291/293), and the magnetization share of the stored bytes fell from 65% to 34% (Fig. 6d; Supplementary Notes 4, 5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at the certified points of Fig. 5, one material per runner, single thread. Certified search: the complete certified compression from the raw field. Encode and decode: medians of five repetitions.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Archived file: Materials Project gzipped JSON and NOMAD CHGCAR as served, decoded by parsing. Intervals and other tolerances: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closed form needs no search</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is a cost of the zlib container. In the water-filling writer (Methods), operational allocation on the writer's exact curves stored no less than the closed form: median ratio 0.999 (95% CI 0.997–1.001)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(bulk 0.998, slabs 1.001) and 0.979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(Supplementary Note 3). The closed form needs no search at any tolerance, and operational allocation remains the encoder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Uniform per-basin projection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entropy-divergence constraint satisfaction on fusion data,¹² and certify-then-project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Notes 6 and 7 and Supplementary Fig. 3).</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Of all pairs, 80%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less than 5%, the Hartree field about 15%, the Hartree potential 2.6–3.1-fold and Gaussian smoothing an order of magnitude, each as predicted (Supplementary Note 3). The predictor is the classical coding-gain construction³⁵,³⁶ evaluated with a physical weight and a finite-rate dead-zone model, distinct from compression-ratio prediction from data statistics.³⁷</w:t>
      </w:r>
    </w:p>
    <w:p>
      <w:pPr>
        <w:spacing w:after="120"/>
        <w:jc w:val="both"/>
      </w:pPr>
      <w:r>
        <w:rPr>
          <w:rFonts w:ascii="Arial" w:hAnsi="Arial"/>
          <w:b w:val="0"/>
          <w:i w:val="0"/>
          <w:sz w:val="20"/>
        </w:rPr>
        <w:t xml:space="preserve">The principle reaches a nonlinear QoI through its linearization. To first order, the error of the PBE³⁸ exchange-correlation energy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is the inner product of the density error with the potential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whose spectral weight falls across the innermost shells about as steeply as the Hartree weight. Shell steps set by that weight certified as much as the closed-form law on bulk crystals (median ratios 0.99–1.00; 0.93–0.96 on slabs). Under an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contract of 1 or 0.1 meV per atom, the law certified 5.4- and 6.9-fold more than the best pointwise codec on bulk crystals and 2.9- and 1.9-fold more on slabs (Supplementary Note 8). A Hartree certificate does not carry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on slabs (median error 3.9 meV per atom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so the energy needs its own contract.</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Once zeros are entropy-coded, the closed form is the encoder. Certification decides whether the decoded object meets every requested contract, and at archive scale the Hartree-certified store of complete objects is 1,401-fold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and even the order of codecs (Supplementary Note 9 compares the approaches). The second is that the operator is the unit of design, for linear analyses and, through its linearization, for the exchange-correlation energy.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With its partition the stream is a self-contained archive 10.2-fold smaller than the pointwise alternative. The magnetization follows the same principle: its moment operator decays nearly as the Hartree weight, so the Hartree law writes it a median 30-fold smaller than pointwise codecs.</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and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argument³⁹ (proof and the role of independence in Supplementary Note 1).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each Nyquist mode takes the smallest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over its alias choices.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in the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A6: best of ZFP, SZ3 and SPERR²–⁴ by absolute-tolerance bisection. Bisection arms use 60 iterations in log space and report the highest-ratio evaluated point that passes the decoded certificate, so A1, A2 and A6 had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All baselines used the A1/A6 search and the decoded Hartree certificate, and the A arms are the recorded law-run values. MGARD⁸ ran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QPET¹⁰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QoI bound as the searched parameter, and FFCz¹⁶ corrected ZFP, SZ3 and SPERR reconstructions in 18 configurations. The best configuration of each is reported. For each slab the vacuum window comes from the reference density alone, and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(Supplementary Note 3).</w:t>
      </w:r>
    </w:p>
    <w:p>
      <w:pPr>
        <w:keepNext/>
        <w:spacing w:before="200" w:after="80"/>
      </w:pPr>
      <w:r>
        <w:rPr>
          <w:rFonts w:ascii="Arial" w:hAnsi="Arial"/>
          <w:b/>
          <w:i w:val="0"/>
          <w:sz w:val="20"/>
        </w:rPr>
        <w:t>Deployment cost</w:t>
      </w:r>
    </w:p>
    <w:p>
      <w:pPr>
        <w:spacing w:after="120"/>
        <w:jc w:val="both"/>
      </w:pPr>
      <w:r>
        <w:rPr>
          <w:rFonts w:ascii="Arial" w:hAnsi="Arial"/>
          <w:b w:val="0"/>
          <w:i w:val="0"/>
          <w:sz w:val="20"/>
        </w:rPr>
        <w:t>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and 300 objects were drawn by hash rank within stored-size strata (Supplementary Note 5). Per object, QSQ ran with the five probes and the certifying writer searched the ZFP, SZ3 and SPERR ladders. Failed objects keep their stored size. Stratified expansion estimators give the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The Hartree archive applied the same design to A1, A2, A3, A6, the water-filling and the predictive writers, with the decoded Hartree certificate and QSQ on the Hartree response (seed 20261012). Both densities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5).</w:t>
      </w:r>
    </w:p>
    <w:p>
      <w:pPr>
        <w:keepNext/>
        <w:spacing w:before="200" w:after="80"/>
      </w:pPr>
      <w:r>
        <w:rPr>
          <w:rFonts w:ascii="Arial" w:hAnsi="Arial"/>
          <w:b/>
          <w:i w:val="0"/>
          <w:sz w:val="20"/>
        </w:rPr>
        <w:t>Exchange-correlation contract</w:t>
      </w:r>
    </w:p>
    <w:p>
      <w:pPr>
        <w:spacing w:after="120"/>
        <w:jc w:val="both"/>
      </w:pPr>
      <m:oMath>
        <m:sSubSup>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up>
            <m:r>
              <m:rPr>
                <m:sty m:val="p"/>
              </m:rPr>
              <w:rPr>
                <w:rFonts w:ascii="Cambria Math" w:hAnsi="Cambria Math" w:cs="Cambria Math" w:eastAsia="Cambria Math"/>
                <w:sz w:val="20"/>
                <w:szCs w:val="20"/>
              </w:rPr>
              <m:t xml:space="preserve">PBE</m:t>
            </m:r>
          </m:sup>
        </m:sSubSup>
      </m:oMath>
      <w:r>
        <w:rPr>
          <w:rFonts w:ascii="Arial" w:hAnsi="Arial"/>
          <w:b w:val="0"/>
          <w:i w:val="0"/>
          <w:sz w:val="20"/>
        </w:rPr>
        <w:t xml:space="preserve"> of the stored total density is evaluated on its own grid with Fourier gradients. The contract is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&lt;</m:t>
        </m:r>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oMath>
      <w:r>
        <w:rPr>
          <w:rFonts w:ascii="Arial" w:hAnsi="Arial"/>
          <w:b w:val="0"/>
          <w:i w:val="0"/>
          <w:sz w:val="20"/>
        </w:rPr>
        <w:t xml:space="preserve"> per atom,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0.1</m:t>
        </m:r>
        <m:r>
          <m:rPr>
            <m:sty m:val="p"/>
          </m:rPr>
          <w:rPr>
            <w:rFonts w:ascii="Cambria Math" w:hAnsi="Cambria Math" w:cs="Cambria Math" w:eastAsia="Cambria Math"/>
            <w:sz w:val="20"/>
            <w:szCs w:val="20"/>
          </w:rPr>
          <m:t xml:space="preserve">}</m:t>
        </m:r>
      </m:oMath>
      <w:r>
        <w:rPr>
          <w:rFonts w:ascii="Arial" w:hAnsi="Arial"/>
          <w:b w:val="0"/>
          <w:i w:val="0"/>
          <w:sz w:val="20"/>
        </w:rPr>
        <w:t xml:space="preserve"> meV, with QSQ on the same response and the 60-step bisection with the decoded energy as predicate. The linearized allocation steps shell </w:t>
      </w:r>
      <m:oMath>
        <m:r>
          <w:rPr>
            <w:rFonts w:ascii="Cambria Math" w:hAnsi="Cambria Math" w:cs="Cambria Math" w:eastAsia="Cambria Math"/>
            <w:sz w:val="20"/>
            <w:szCs w:val="20"/>
          </w:rPr>
          <m:t xml:space="preserve">s</m:t>
        </m:r>
      </m:oMath>
      <w:r>
        <w:rPr>
          <w:rFonts w:ascii="Arial" w:hAnsi="Arial"/>
          <w:b w:val="0"/>
          <w:i w:val="0"/>
          <w:sz w:val="20"/>
        </w:rPr>
        <w:t xml:space="preserve"> by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m:rPr>
                <m:sty m:val="p"/>
              </m:rPr>
              <w:rPr>
                <w:rFonts w:ascii="Cambria Math" w:hAnsi="Cambria Math" w:cs="Cambria Math" w:eastAsia="Cambria Math"/>
                <w:sz w:val="20"/>
                <w:szCs w:val="20"/>
              </w:rPr>
              <m:t xml:space="preserve">max</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oMath>
      <w:r>
        <w:rPr>
          <w:rFonts w:ascii="Arial" w:hAnsi="Arial"/>
          <w:b w:val="0"/>
          <w:i w:val="0"/>
          <w:sz w:val="20"/>
        </w:rPr>
        <w:t xml:space="preserve"> the shell mean of </w:t>
      </w:r>
      <m:oMath>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the exact derivative of the discrete energy. Flat shell steps in the same container are its control (Supplementary Note 8).</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with the law codec, the same codec with uniform steps, the truncation codec at each of the 32 cutoffs, and ZFP, SZ3 and SPERR, at the certified points of the arms' bisection.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and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Its form was fixed by a retrospective calibration on 12 engineering materials (Supplementary Note 10)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listing.⁴⁰ P3b is 32 NOMAD VASP surface slabs,⁴¹ one per reduced formula and at most six per upload. Only metadata was read before the rules were fixed, and no outcome was computed on any candidate (Table 1). Populations and source files: Supplementary Notes 11 and 12.</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nil"/>
              <w:left w:val="nil"/>
              <w:right w:val="nil"/>
            </w:tcBorders>
          </w:tcPr>
          <w:p>
            <w:pPr>
              <w:spacing w:after="0"/>
            </w:pPr>
            <w:r/>
            <w:r>
              <w:rPr>
                <w:rFonts w:ascii="Arial" w:hAnsi="Arial"/>
                <w:b w:val="0"/>
                <w:i w:val="0"/>
                <w:sz w:val="15"/>
              </w:rPr>
              <w:t>FFCz-baseline run recorded</w:t>
            </w:r>
          </w:p>
        </w:tc>
        <w:tc>
          <w:tcPr>
            <w:tcW w:type="dxa" w:w="3364"/>
            <w:tcBorders>
              <w:top w:val="nil"/>
              <w:bottom w:val="nil"/>
              <w:left w:val="nil"/>
              <w:right w:val="nil"/>
            </w:tcBorders>
          </w:tcPr>
          <w:p>
            <w:pPr>
              <w:spacing w:after="0"/>
            </w:pPr>
            <w:r/>
            <w:r>
              <w:rPr>
                <w:rFonts w:ascii="Arial" w:hAnsi="Arial"/>
                <w:b w:val="0"/>
                <w:i w:val="0"/>
                <w:sz w:val="15"/>
              </w:rPr>
              <w:t>eaf7427</w:t>
            </w:r>
          </w:p>
        </w:tc>
        <w:tc>
          <w:tcPr>
            <w:tcW w:type="dxa" w:w="3364"/>
            <w:tcBorders>
              <w:top w:val="nil"/>
              <w:bottom w:val="nil"/>
              <w:left w:val="nil"/>
              <w:right w:val="nil"/>
            </w:tcBorders>
          </w:tcPr>
          <w:p>
            <w:pPr>
              <w:spacing w:after="0"/>
            </w:pPr>
            <w:r/>
            <w:r>
              <w:rPr>
                <w:rFonts w:ascii="Arial" w:hAnsi="Arial"/>
                <w:b w:val="0"/>
                <w:i w:val="0"/>
                <w:sz w:val="15"/>
              </w:rPr>
              <w:t>2026-10-22 04:28</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protocols fixed</w:t>
            </w:r>
          </w:p>
        </w:tc>
        <w:tc>
          <w:tcPr>
            <w:tcW w:type="dxa" w:w="3364"/>
            <w:tcBorders>
              <w:top w:val="nil"/>
              <w:bottom w:val="nil"/>
              <w:left w:val="nil"/>
              <w:right w:val="nil"/>
            </w:tcBorders>
          </w:tcPr>
          <w:p>
            <w:pPr>
              <w:spacing w:after="0"/>
            </w:pPr>
            <w:r/>
            <w:r>
              <w:rPr>
                <w:rFonts w:ascii="Arial" w:hAnsi="Arial"/>
                <w:b w:val="0"/>
                <w:i w:val="0"/>
                <w:sz w:val="15"/>
              </w:rPr>
              <w:t>75f091a</w:t>
            </w:r>
          </w:p>
        </w:tc>
        <w:tc>
          <w:tcPr>
            <w:tcW w:type="dxa" w:w="3364"/>
            <w:tcBorders>
              <w:top w:val="nil"/>
              <w:bottom w:val="nil"/>
              <w:left w:val="nil"/>
              <w:right w:val="nil"/>
            </w:tcBorders>
          </w:tcPr>
          <w:p>
            <w:pPr>
              <w:spacing w:after="0"/>
            </w:pPr>
            <w:r/>
            <w:r>
              <w:rPr>
                <w:rFonts w:ascii="Arial" w:hAnsi="Arial"/>
                <w:b w:val="0"/>
                <w:i w:val="0"/>
                <w:sz w:val="15"/>
              </w:rPr>
              <w:t>2026-10-23 16:17</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runs recorded</w:t>
            </w:r>
          </w:p>
        </w:tc>
        <w:tc>
          <w:tcPr>
            <w:tcW w:type="dxa" w:w="3364"/>
            <w:tcBorders>
              <w:top w:val="nil"/>
              <w:bottom w:val="nil"/>
              <w:left w:val="nil"/>
              <w:right w:val="nil"/>
            </w:tcBorders>
          </w:tcPr>
          <w:p>
            <w:pPr>
              <w:spacing w:after="0"/>
            </w:pPr>
            <w:r/>
            <w:r>
              <w:rPr>
                <w:rFonts w:ascii="Arial" w:hAnsi="Arial"/>
                <w:b w:val="0"/>
                <w:i w:val="0"/>
                <w:sz w:val="15"/>
              </w:rPr>
              <w:t>534126e</w:t>
            </w:r>
          </w:p>
        </w:tc>
        <w:tc>
          <w:tcPr>
            <w:tcW w:type="dxa" w:w="3364"/>
            <w:tcBorders>
              <w:top w:val="nil"/>
              <w:bottom w:val="nil"/>
              <w:left w:val="nil"/>
              <w:right w:val="nil"/>
            </w:tcBorders>
          </w:tcPr>
          <w:p>
            <w:pPr>
              <w:spacing w:after="0"/>
            </w:pPr>
            <w:r/>
            <w:r>
              <w:rPr>
                <w:rFonts w:ascii="Arial" w:hAnsi="Arial"/>
                <w:b w:val="0"/>
                <w:i w:val="0"/>
                <w:sz w:val="15"/>
              </w:rPr>
              <w:t>2026-10-24 13:09</w:t>
            </w:r>
          </w:p>
        </w:tc>
      </w:tr>
      <w:tr>
        <w:tc>
          <w:tcPr>
            <w:tcW w:type="dxa" w:w="3364"/>
            <w:tcBorders>
              <w:top w:val="nil"/>
              <w:bottom w:val="nil"/>
              <w:left w:val="nil"/>
              <w:right w:val="nil"/>
            </w:tcBorders>
          </w:tcPr>
          <w:p>
            <w:pPr>
              <w:spacing w:after="0"/>
            </w:pPr>
            <w:r/>
            <w:r>
              <w:rPr>
                <w:rFonts w:ascii="Arial" w:hAnsi="Arial"/>
                <w:b w:val="0"/>
                <w:i w:val="0"/>
                <w:sz w:val="15"/>
              </w:rPr>
              <w:t>Linearized exchange-correlation protocol fixed</w:t>
            </w:r>
          </w:p>
        </w:tc>
        <w:tc>
          <w:tcPr>
            <w:tcW w:type="dxa" w:w="3364"/>
            <w:tcBorders>
              <w:top w:val="nil"/>
              <w:bottom w:val="nil"/>
              <w:left w:val="nil"/>
              <w:right w:val="nil"/>
            </w:tcBorders>
          </w:tcPr>
          <w:p>
            <w:pPr>
              <w:spacing w:after="0"/>
            </w:pPr>
            <w:r/>
            <w:r>
              <w:rPr>
                <w:rFonts w:ascii="Arial" w:hAnsi="Arial"/>
                <w:b w:val="0"/>
                <w:i w:val="0"/>
                <w:sz w:val="15"/>
              </w:rPr>
              <w:t>5e0c052</w:t>
            </w:r>
          </w:p>
        </w:tc>
        <w:tc>
          <w:tcPr>
            <w:tcW w:type="dxa" w:w="3364"/>
            <w:tcBorders>
              <w:top w:val="nil"/>
              <w:bottom w:val="nil"/>
              <w:left w:val="nil"/>
              <w:right w:val="nil"/>
            </w:tcBorders>
          </w:tcPr>
          <w:p>
            <w:pPr>
              <w:spacing w:after="0"/>
            </w:pPr>
            <w:r/>
            <w:r>
              <w:rPr>
                <w:rFonts w:ascii="Arial" w:hAnsi="Arial"/>
                <w:b w:val="0"/>
                <w:i w:val="0"/>
                <w:sz w:val="15"/>
              </w:rPr>
              <w:t>2026-10-24 13:23</w:t>
            </w:r>
          </w:p>
        </w:tc>
      </w:tr>
      <w:tr>
        <w:tc>
          <w:tcPr>
            <w:tcW w:type="dxa" w:w="3364"/>
            <w:tcBorders>
              <w:top w:val="nil"/>
              <w:bottom w:val="nil"/>
              <w:left w:val="nil"/>
              <w:right w:val="nil"/>
            </w:tcBorders>
          </w:tcPr>
          <w:p>
            <w:pPr>
              <w:spacing w:after="0"/>
            </w:pPr>
            <w:r/>
            <w:r>
              <w:rPr>
                <w:rFonts w:ascii="Arial" w:hAnsi="Arial"/>
                <w:b w:val="0"/>
                <w:i w:val="0"/>
                <w:sz w:val="15"/>
              </w:rPr>
              <w:t>Linearized exchange-correlation run recorded</w:t>
            </w:r>
          </w:p>
        </w:tc>
        <w:tc>
          <w:tcPr>
            <w:tcW w:type="dxa" w:w="3364"/>
            <w:tcBorders>
              <w:top w:val="nil"/>
              <w:bottom w:val="nil"/>
              <w:left w:val="nil"/>
              <w:right w:val="nil"/>
            </w:tcBorders>
          </w:tcPr>
          <w:p>
            <w:pPr>
              <w:spacing w:after="0"/>
            </w:pPr>
            <w:r/>
            <w:r>
              <w:rPr>
                <w:rFonts w:ascii="Arial" w:hAnsi="Arial"/>
                <w:b w:val="0"/>
                <w:i w:val="0"/>
                <w:sz w:val="15"/>
              </w:rPr>
              <w:t>b32e6d7</w:t>
            </w:r>
          </w:p>
        </w:tc>
        <w:tc>
          <w:tcPr>
            <w:tcW w:type="dxa" w:w="3364"/>
            <w:tcBorders>
              <w:top w:val="nil"/>
              <w:bottom w:val="nil"/>
              <w:left w:val="nil"/>
              <w:right w:val="nil"/>
            </w:tcBorders>
          </w:tcPr>
          <w:p>
            <w:pPr>
              <w:spacing w:after="0"/>
            </w:pPr>
            <w:r/>
            <w:r>
              <w:rPr>
                <w:rFonts w:ascii="Arial" w:hAnsi="Arial"/>
                <w:b w:val="0"/>
                <w:i w:val="0"/>
                <w:sz w:val="15"/>
              </w:rPr>
              <w:t>2026-10-24 14:05</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protocols fixed</w:t>
            </w:r>
          </w:p>
        </w:tc>
        <w:tc>
          <w:tcPr>
            <w:tcW w:type="dxa" w:w="3364"/>
            <w:tcBorders>
              <w:top w:val="nil"/>
              <w:bottom w:val="nil"/>
              <w:left w:val="nil"/>
              <w:right w:val="nil"/>
            </w:tcBorders>
          </w:tcPr>
          <w:p>
            <w:pPr>
              <w:spacing w:after="0"/>
            </w:pPr>
            <w:r/>
            <w:r>
              <w:rPr>
                <w:rFonts w:ascii="Arial" w:hAnsi="Arial"/>
                <w:b w:val="0"/>
                <w:i w:val="0"/>
                <w:sz w:val="15"/>
              </w:rPr>
              <w:t>fd5646d</w:t>
            </w:r>
          </w:p>
        </w:tc>
        <w:tc>
          <w:tcPr>
            <w:tcW w:type="dxa" w:w="3364"/>
            <w:tcBorders>
              <w:top w:val="nil"/>
              <w:bottom w:val="nil"/>
              <w:left w:val="nil"/>
              <w:right w:val="nil"/>
            </w:tcBorders>
          </w:tcPr>
          <w:p>
            <w:pPr>
              <w:spacing w:after="0"/>
            </w:pPr>
            <w:r/>
            <w:r>
              <w:rPr>
                <w:rFonts w:ascii="Arial" w:hAnsi="Arial"/>
                <w:b w:val="0"/>
                <w:i w:val="0"/>
                <w:sz w:val="15"/>
              </w:rPr>
              <w:t>2026-10-25 09:34</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runs recorded</w:t>
            </w:r>
          </w:p>
        </w:tc>
        <w:tc>
          <w:tcPr>
            <w:tcW w:type="dxa" w:w="3364"/>
            <w:tcBorders>
              <w:top w:val="nil"/>
              <w:bottom w:val="nil"/>
              <w:left w:val="nil"/>
              <w:right w:val="nil"/>
            </w:tcBorders>
          </w:tcPr>
          <w:p>
            <w:pPr>
              <w:spacing w:after="0"/>
            </w:pPr>
            <w:r/>
            <w:r>
              <w:rPr>
                <w:rFonts w:ascii="Arial" w:hAnsi="Arial"/>
                <w:b w:val="0"/>
                <w:i w:val="0"/>
                <w:sz w:val="15"/>
              </w:rPr>
              <w:t>7880324</w:t>
            </w:r>
          </w:p>
        </w:tc>
        <w:tc>
          <w:tcPr>
            <w:tcW w:type="dxa" w:w="3364"/>
            <w:tcBorders>
              <w:top w:val="nil"/>
              <w:bottom w:val="nil"/>
              <w:left w:val="nil"/>
              <w:right w:val="nil"/>
            </w:tcBorders>
          </w:tcPr>
          <w:p>
            <w:pPr>
              <w:spacing w:after="0"/>
            </w:pPr>
            <w:r/>
            <w:r>
              <w:rPr>
                <w:rFonts w:ascii="Arial" w:hAnsi="Arial"/>
                <w:b w:val="0"/>
                <w:i w:val="0"/>
                <w:sz w:val="15"/>
              </w:rPr>
              <w:t>2026-10-25 12:48</w:t>
            </w:r>
          </w:p>
        </w:tc>
      </w:tr>
      <w:tr>
        <w:tc>
          <w:tcPr>
            <w:tcW w:type="dxa" w:w="3364"/>
            <w:tcBorders>
              <w:top w:val="nil"/>
              <w:bottom w:val="nil"/>
              <w:left w:val="nil"/>
              <w:right w:val="nil"/>
            </w:tcBorders>
          </w:tcPr>
          <w:p>
            <w:pPr>
              <w:spacing w:after="0"/>
            </w:pPr>
            <w:r/>
            <w:r>
              <w:rPr>
                <w:rFonts w:ascii="Arial" w:hAnsi="Arial"/>
                <w:b w:val="0"/>
                <w:i w:val="0"/>
                <w:sz w:val="15"/>
              </w:rPr>
              <w:t>Predictive-writer, magnetization-writer and partition-rebuild protocols fixed</w:t>
            </w:r>
          </w:p>
        </w:tc>
        <w:tc>
          <w:tcPr>
            <w:tcW w:type="dxa" w:w="3364"/>
            <w:tcBorders>
              <w:top w:val="nil"/>
              <w:bottom w:val="nil"/>
              <w:left w:val="nil"/>
              <w:right w:val="nil"/>
            </w:tcBorders>
          </w:tcPr>
          <w:p>
            <w:pPr>
              <w:spacing w:after="0"/>
            </w:pPr>
            <w:r/>
            <w:r>
              <w:rPr>
                <w:rFonts w:ascii="Arial" w:hAnsi="Arial"/>
                <w:b w:val="0"/>
                <w:i w:val="0"/>
                <w:sz w:val="15"/>
              </w:rPr>
              <w:t>4102390</w:t>
            </w:r>
          </w:p>
        </w:tc>
        <w:tc>
          <w:tcPr>
            <w:tcW w:type="dxa" w:w="3364"/>
            <w:tcBorders>
              <w:top w:val="nil"/>
              <w:bottom w:val="nil"/>
              <w:left w:val="nil"/>
              <w:right w:val="nil"/>
            </w:tcBorders>
          </w:tcPr>
          <w:p>
            <w:pPr>
              <w:spacing w:after="0"/>
            </w:pPr>
            <w:r/>
            <w:r>
              <w:rPr>
                <w:rFonts w:ascii="Arial" w:hAnsi="Arial"/>
                <w:b w:val="0"/>
                <w:i w:val="0"/>
                <w:sz w:val="15"/>
              </w:rPr>
              <w:t>2026-10-25 15:01</w:t>
            </w:r>
          </w:p>
        </w:tc>
      </w:tr>
      <w:tr>
        <w:tc>
          <w:tcPr>
            <w:tcW w:type="dxa" w:w="3364"/>
            <w:tcBorders>
              <w:top w:val="nil"/>
              <w:bottom w:val="single" w:sz="6" w:color="1B1B1B"/>
              <w:left w:val="nil"/>
              <w:right w:val="nil"/>
            </w:tcBorders>
          </w:tcPr>
          <w:p>
            <w:pPr>
              <w:spacing w:after="0"/>
            </w:pPr>
            <w:r/>
            <w:r>
              <w:rPr>
                <w:rFonts w:ascii="Arial" w:hAnsi="Arial"/>
                <w:b w:val="0"/>
                <w:i w:val="0"/>
                <w:sz w:val="15"/>
              </w:rPr>
              <w:t>Predictive-writer, magnetization-writer and partition-rebuild runs recorded</w:t>
            </w:r>
          </w:p>
        </w:tc>
        <w:tc>
          <w:tcPr>
            <w:tcW w:type="dxa" w:w="3364"/>
            <w:tcBorders>
              <w:top w:val="nil"/>
              <w:bottom w:val="single" w:sz="6" w:color="1B1B1B"/>
              <w:left w:val="nil"/>
              <w:right w:val="nil"/>
            </w:tcBorders>
          </w:tcPr>
          <w:p>
            <w:pPr>
              <w:spacing w:after="0"/>
            </w:pPr>
            <w:r/>
            <w:r>
              <w:rPr>
                <w:rFonts w:ascii="Arial" w:hAnsi="Arial"/>
                <w:b w:val="0"/>
                <w:i w:val="0"/>
                <w:sz w:val="15"/>
              </w:rPr>
              <w:t>c68c605</w:t>
            </w:r>
          </w:p>
        </w:tc>
        <w:tc>
          <w:tcPr>
            <w:tcW w:type="dxa" w:w="3364"/>
            <w:tcBorders>
              <w:top w:val="nil"/>
              <w:bottom w:val="single" w:sz="6" w:color="1B1B1B"/>
              <w:left w:val="nil"/>
              <w:right w:val="nil"/>
            </w:tcBorders>
          </w:tcPr>
          <w:p>
            <w:pPr>
              <w:spacing w:after="0"/>
            </w:pPr>
            <w:r/>
            <w:r>
              <w:rPr>
                <w:rFonts w:ascii="Arial" w:hAnsi="Arial"/>
                <w:b w:val="0"/>
                <w:i w:val="0"/>
                <w:sz w:val="15"/>
              </w:rPr>
              <w:t>2026-10-25 22:42</w:t>
            </w:r>
          </w:p>
        </w:tc>
      </w:tr>
    </w:tbl>
    <w:p>
      <w:pPr>
        <w:spacing w:after="40"/>
      </w:pPr>
    </w:p>
    <w:p>
      <w:pPr>
        <w:keepNext/>
        <w:spacing w:before="200" w:after="80"/>
      </w:pPr>
      <w:r>
        <w:rPr>
          <w:rFonts w:ascii="Arial" w:hAnsi="Arial"/>
          <w:b/>
          <w:i w:val="0"/>
          <w:sz w:val="20"/>
        </w:rPr>
        <w:t>Water-filling and predictive writers</w:t>
      </w:r>
    </w:p>
    <w:p>
      <w:pPr>
        <w:spacing w:after="120"/>
        <w:jc w:val="both"/>
      </w:pPr>
      <w:r>
        <w:rPr>
          <w:rFonts w:ascii="Arial" w:hAnsi="Arial"/>
          <w:b w:val="0"/>
          <w:i w:val="0"/>
          <w:sz w:val="20"/>
        </w:rPr>
        <w:t xml:space="preserve">The writer keeps the 32 Hermitian-orbit shells. The water-filling law uses the law's steps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writes shell </w:t>
      </w:r>
      <m:oMath>
        <m:r>
          <w:rPr>
            <w:rFonts w:ascii="Cambria Math" w:hAnsi="Cambria Math" w:cs="Cambria Math" w:eastAsia="Cambria Math"/>
            <w:sz w:val="20"/>
            <w:szCs w:val="20"/>
          </w:rPr>
          <m:t xml:space="preserve">s</m:t>
        </m:r>
      </m:oMath>
      <w:r>
        <w:rPr>
          <w:rFonts w:ascii="Arial" w:hAnsi="Arial"/>
          <w:b w:val="0"/>
          <w:i w:val="0"/>
          <w:sz w:val="20"/>
        </w:rPr>
        <w:t xml:space="preserve"> only if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&gt;</m:t>
        </m:r>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oMath>
      <w:r>
        <w:rPr>
          <w:rFonts w:ascii="Arial" w:hAnsi="Arial"/>
          <w:b w:val="0"/>
          <w:i w:val="0"/>
          <w:sz w:val="20"/>
        </w:rPr>
        <w:t xml:space="preserve">, with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c</m:t>
            </m:r>
          </m:e>
          <m:sub>
            <m:r>
              <w:rPr>
                <w:rFonts w:ascii="Cambria Math" w:hAnsi="Cambria Math" w:cs="Cambria Math" w:eastAsia="Cambria Math"/>
                <w:sz w:val="20"/>
                <w:szCs w:val="20"/>
              </w:rPr>
              <m:t xml:space="preserve">k</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its operator-weighted energy and </w:t>
      </w:r>
      <m:oMath>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the operator-weighted rounding noise (</w:t>
      </w:r>
      <m:oMath>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oMath>
      <w:r>
        <w:rPr>
          <w:rFonts w:ascii="Arial" w:hAnsi="Arial"/>
          <w:b w:val="0"/>
          <w:i w:val="0"/>
          <w:sz w:val="20"/>
        </w:rPr>
        <w:t xml:space="preserve"> orbit multiplicity, </w:t>
      </w:r>
      <m:oMath>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oMath>
      <w:r>
        <w:rPr>
          <w:rFonts w:ascii="Arial" w:hAnsi="Arial"/>
          <w:b w:val="0"/>
          <w:i w:val="0"/>
          <w:sz w:val="20"/>
        </w:rPr>
        <w:t xml:space="preserve"> real parts per orbit), with </w:t>
      </w:r>
      <m:oMath>
        <m:r>
          <w:rPr>
            <w:rFonts w:ascii="Cambria Math" w:hAnsi="Cambria Math" w:cs="Cambria Math" w:eastAsia="Cambria Math"/>
            <w:sz w:val="20"/>
            <w:szCs w:val="20"/>
          </w:rPr>
          <m:t xml:space="preserve">α</m:t>
        </m:r>
      </m:oMath>
      <w:r>
        <w:rPr>
          <w:rFonts w:ascii="Arial" w:hAnsi="Arial"/>
          <w:b w:val="0"/>
          <w:i w:val="0"/>
          <w:sz w:val="20"/>
        </w:rPr>
        <w:t xml:space="preserve"> bisected as for A1. Space-group operations (spglib⁴²) that map the grid onto itself and hold on the density predict each star member from the first, and members are coded as rounded residuals. Each shell is coded by a context-adaptive binary arithmetic coder⁴³ or by zlib, whichever is smaller, under a binary header. Truncation and operational allocation ran in the same writer with the A2 and A3 searches (Supplementary Note 3).</w:t>
      </w:r>
    </w:p>
    <w:p>
      <w:pPr>
        <w:spacing w:after="120"/>
        <w:jc w:val="both"/>
      </w:pPr>
      <w:r>
        <w:rPr>
          <w:rFonts w:ascii="Arial" w:hAnsi="Arial"/>
          <w:b w:val="0"/>
          <w:i w:val="0"/>
          <w:sz w:val="20"/>
        </w:rPr>
        <w:t xml:space="preserve">The predictive writer fits, in each shell </w:t>
      </w:r>
      <m:oMath>
        <m:r>
          <w:rPr>
            <w:rFonts w:ascii="Cambria Math" w:hAnsi="Cambria Math" w:cs="Cambria Math" w:eastAsia="Cambria Math"/>
            <w:sz w:val="20"/>
            <w:szCs w:val="20"/>
          </w:rPr>
          <m:t xml:space="preserve">s</m:t>
        </m:r>
      </m:oMath>
      <w:r>
        <w:rPr>
          <w:rFonts w:ascii="Arial" w:hAnsi="Arial"/>
          <w:b w:val="0"/>
          <w:i w:val="0"/>
          <w:sz w:val="20"/>
        </w:rPr>
        <w:t xml:space="preserve">, </w:t>
      </w:r>
      <m:oMath>
        <m:acc>
          <m:accPr>
            <m:chr m:val="̂"/>
          </m:accPr>
          <m:e>
            <m:r>
              <w:rPr>
                <w:rFonts w:ascii="Cambria Math" w:hAnsi="Cambria Math" w:cs="Cambria Math" w:eastAsia="Cambria Math"/>
                <w:sz w:val="20"/>
                <w:szCs w:val="20"/>
              </w:rPr>
              <m:t xml:space="preserve">c</m:t>
            </m:r>
          </m:e>
        </m:acc>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e</m:t>
            </m:r>
          </m:sub>
        </m:sSub>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by operator-weighted least squares, with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oMath>
      <w:r>
        <w:rPr>
          <w:rFonts w:ascii="Arial" w:hAnsi="Arial"/>
          <w:b w:val="0"/>
          <w:i w:val="0"/>
          <w:sz w:val="20"/>
        </w:rPr>
        <w:t xml:space="preserve"> the structure factor of species </w:t>
      </w:r>
      <m:oMath>
        <m:r>
          <w:rPr>
            <w:rFonts w:ascii="Cambria Math" w:hAnsi="Cambria Math" w:cs="Cambria Math" w:eastAsia="Cambria Math"/>
            <w:sz w:val="20"/>
            <w:szCs w:val="20"/>
          </w:rPr>
          <m:t xml:space="preserve">e</m:t>
        </m:r>
      </m:oMath>
      <w:r>
        <w:rPr>
          <w:rFonts w:ascii="Arial" w:hAnsi="Arial"/>
          <w:b w:val="0"/>
          <w:i w:val="0"/>
          <w:sz w:val="20"/>
        </w:rPr>
        <w:t xml:space="preserve"> from the stored float32 coordinates and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oMath>
      <w:r>
        <w:rPr>
          <w:rFonts w:ascii="Arial" w:hAnsi="Arial"/>
          <w:b w:val="0"/>
          <w:i w:val="0"/>
          <w:sz w:val="20"/>
        </w:rPr>
        <w:t xml:space="preserve"> quadratic in </w:t>
      </w:r>
      <m:oMath>
        <m:r>
          <w:rPr>
            <w:rFonts w:ascii="Cambria Math" w:hAnsi="Cambria Math" w:cs="Cambria Math" w:eastAsia="Cambria Math"/>
            <w:sz w:val="20"/>
            <w:szCs w:val="20"/>
          </w:rPr>
          <m:t xml:space="preserve">q</m:t>
        </m:r>
      </m:oMath>
      <w:r>
        <w:rPr>
          <w:rFonts w:ascii="Arial" w:hAnsi="Arial"/>
          <w:b w:val="0"/>
          <w:i w:val="0"/>
          <w:sz w:val="20"/>
        </w:rPr>
        <w:t xml:space="preserve">. Quantized parameters are stored, a shell's prediction is kept if it removes over half of its operator-weighted energy, and the water-filling writer codes the residual. The magnetization writer applies the water-filling writer to </w:t>
      </w:r>
      <m:oMath>
        <m:r>
          <w:rPr>
            <w:rFonts w:ascii="Cambria Math" w:hAnsi="Cambria Math" w:cs="Cambria Math" w:eastAsia="Cambria Math"/>
            <w:sz w:val="20"/>
            <w:szCs w:val="20"/>
          </w:rPr>
          <m:t xml:space="preserve">m</m:t>
        </m:r>
      </m:oMath>
      <w:r>
        <w:rPr>
          <w:rFonts w:ascii="Arial" w:hAnsi="Arial"/>
          <w:b w:val="0"/>
          <w:i w:val="0"/>
          <w:sz w:val="20"/>
        </w:rPr>
        <w:t xml:space="preserve">, with </w:t>
      </w:r>
      <m:oMath>
        <m:r>
          <w:rPr>
            <w:rFonts w:ascii="Cambria Math" w:hAnsi="Cambria Math" w:cs="Cambria Math" w:eastAsia="Cambria Math"/>
            <w:sz w:val="20"/>
            <w:szCs w:val="20"/>
          </w:rPr>
          <m:t xml:space="preserve">α</m:t>
        </m:r>
      </m:oMath>
      <w:r>
        <w:rPr>
          <w:rFonts w:ascii="Arial" w:hAnsi="Arial"/>
          <w:b w:val="0"/>
          <w:i w:val="0"/>
          <w:sz w:val="20"/>
        </w:rPr>
        <w:t xml:space="preserve"> bisected until every moment on the decoded density's Bader partition meets the tolerance, confirmed by the Henkelman binary (Supplementary Note 4).</w:t>
      </w: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and the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Every base (R3, J, T1, GF) received the same post-processors. The best certified one per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is reported, with bytes including payload, side channel and flag. Self-contained storage adds the exact-partition atom-index map as xz-compressed 16-bit labels (Supplementary Note 6).</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20261025 for the writer). Acceptance criteria: Supplementary Notes 3, 4 and 6. QSQ intervals are material-cluster bootstrap intervals. Spearman correlations use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2026-10-06).⁴⁰ Surface slabs are NOMAD VASP entries retrieved through the public NOMAD API,⁴¹ and the external QSQ cohort also uses AFLOW densities.⁴⁴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Perdew, J. P., Burke, K. &amp; Ernzerhof, M. Generalized gradient approximation made simple. </w:t>
      </w:r>
      <w:r>
        <w:rPr>
          <w:rFonts w:ascii="Arial" w:hAnsi="Arial"/>
          <w:b w:val="0"/>
          <w:i/>
          <w:sz w:val="17"/>
        </w:rPr>
        <w:t>Phys. Rev. Lett.</w:t>
      </w:r>
      <w:r>
        <w:rPr>
          <w:rFonts w:ascii="Arial" w:hAnsi="Arial"/>
          <w:b w:val="0"/>
          <w:i w:val="0"/>
          <w:sz w:val="17"/>
        </w:rPr>
        <w:t xml:space="preserve"> </w:t>
      </w:r>
      <w:r>
        <w:rPr>
          <w:rFonts w:ascii="Arial" w:hAnsi="Arial"/>
          <w:b/>
          <w:i w:val="0"/>
          <w:sz w:val="17"/>
        </w:rPr>
        <w:t>77</w:t>
      </w:r>
      <w:r>
        <w:rPr>
          <w:rFonts w:ascii="Arial" w:hAnsi="Arial"/>
          <w:b w:val="0"/>
          <w:i w:val="0"/>
          <w:sz w:val="17"/>
        </w:rPr>
        <w:t>, 3865–3868 (1996).</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Togo, A., Shinohara, K. &amp; Tanaka, I. Spglib: a software library for crystal symmetry search. </w:t>
      </w:r>
      <w:r>
        <w:rPr>
          <w:rFonts w:ascii="Arial" w:hAnsi="Arial"/>
          <w:b w:val="0"/>
          <w:i/>
          <w:sz w:val="17"/>
        </w:rPr>
        <w:t>Sci. Technol. Adv. Mater. Methods</w:t>
      </w:r>
      <w:r>
        <w:rPr>
          <w:rFonts w:ascii="Arial" w:hAnsi="Arial"/>
          <w:b w:val="0"/>
          <w:i w:val="0"/>
          <w:sz w:val="17"/>
        </w:rPr>
        <w:t xml:space="preserve"> </w:t>
      </w:r>
      <w:r>
        <w:rPr>
          <w:rFonts w:ascii="Arial" w:hAnsi="Arial"/>
          <w:b/>
          <w:i w:val="0"/>
          <w:sz w:val="17"/>
        </w:rPr>
        <w:t>4</w:t>
      </w:r>
      <w:r>
        <w:rPr>
          <w:rFonts w:ascii="Arial" w:hAnsi="Arial"/>
          <w:b w:val="0"/>
          <w:i w:val="0"/>
          <w:sz w:val="17"/>
        </w:rPr>
        <w:t>, 2384822 (2024).</w:t>
      </w:r>
    </w:p>
    <w:p>
      <w:pPr>
        <w:pStyle w:val="ListNumber"/>
        <w:spacing w:after="40"/>
      </w:pPr>
      <w:r>
        <w:rPr>
          <w:rFonts w:ascii="Arial" w:hAnsi="Arial"/>
          <w:b w:val="0"/>
          <w:i w:val="0"/>
          <w:sz w:val="17"/>
        </w:rPr>
        <w:t xml:space="preserve">Witten, I. H., Neal, R. M. &amp; Cleary, J. G. Arithmetic coding for data compression. </w:t>
      </w:r>
      <w:r>
        <w:rPr>
          <w:rFonts w:ascii="Arial" w:hAnsi="Arial"/>
          <w:b w:val="0"/>
          <w:i/>
          <w:sz w:val="17"/>
        </w:rPr>
        <w:t>Commun. ACM</w:t>
      </w:r>
      <w:r>
        <w:rPr>
          <w:rFonts w:ascii="Arial" w:hAnsi="Arial"/>
          <w:b w:val="0"/>
          <w:i w:val="0"/>
          <w:sz w:val="17"/>
        </w:rPr>
        <w:t xml:space="preserve"> </w:t>
      </w:r>
      <w:r>
        <w:rPr>
          <w:rFonts w:ascii="Arial" w:hAnsi="Arial"/>
          <w:b/>
          <w:i w:val="0"/>
          <w:sz w:val="17"/>
        </w:rPr>
        <w:t>30</w:t>
      </w:r>
      <w:r>
        <w:rPr>
          <w:rFonts w:ascii="Arial" w:hAnsi="Arial"/>
          <w:b w:val="0"/>
          <w:i w:val="0"/>
          <w:sz w:val="17"/>
        </w:rPr>
        <w:t>, 520–540 (1987).</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