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9488" w:sz="8" w:space="6"/>
        </w:pBdr>
        <w:spacing w:after="80" w:before="0"/>
      </w:pPr>
      <w:r>
        <w:rPr>
          <w:b/>
          <w:bCs/>
          <w:color w:val="0A2342"/>
          <w:sz w:val="52"/>
          <w:szCs w:val="52"/>
        </w:rPr>
        <w:t xml:space="preserve">Più ricchi, più medaglie?</w:t>
      </w:r>
    </w:p>
    <w:p>
      <w:pPr>
        <w:spacing w:after="240"/>
      </w:pPr>
      <w:r>
        <w:rPr>
          <w:i/>
          <w:iCs/>
          <w:color w:val="374151"/>
          <w:sz w:val="24"/>
          <w:szCs w:val="24"/>
        </w:rPr>
        <w:t xml:space="preserve">PIL, popolazione e sviluppo umano: quali fattori spiegano il successo alle Olimpiadi estive?</w:t>
      </w:r>
    </w:p>
    <w:p>
      <w:pPr>
        <w:pBdr>
          <w:left w:val="single" w:color="0D9488" w:sz="12" w:space="12"/>
        </w:pBdr>
        <w:spacing w:after="200"/>
        <w:ind w:left="240"/>
      </w:pPr>
      <w:r>
        <w:rPr>
          <w:color w:val="374151"/>
          <w:sz w:val="24"/>
          <w:szCs w:val="24"/>
        </w:rPr>
        <w:t xml:space="preserve">In questa prima analisi esploriamo il dataset olimpico per capire se e quanto lo sviluppo economico di un paese spiega le medaglie vinte alle Olimpiadi estive (1964-2020). Dataset: 3.126 righe, 218 paesi, 15 edizioni estive.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1. Dati mancanti per variabile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Le variabili World Bank non coprono tutti i paesi e tutte le epoche. Abbiamo classificato le variabili in tre fasce: affidabili (&lt;15% NaN), da usare con cautela (15-30%), escluse (&gt;30%).</w:t>
      </w:r>
    </w:p>
    <w:p>
      <w:pPr>
        <w:spacing w:after="60"/>
        <w:jc w:val="center"/>
      </w:pPr>
      <w:r>
        <w:drawing>
          <wp:inline distT="0" distB="0" distL="0" distR="0">
            <wp:extent cx="5048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Dati mancanti per variabile socioeconomica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2. Quale indicatore spiega meglio le medaglie?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Il </w:t>
      </w:r>
      <w:r>
        <w:rPr>
          <w:b/>
          <w:bCs/>
          <w:color w:val="0A2342"/>
          <w:sz w:val="22"/>
          <w:szCs w:val="22"/>
        </w:rPr>
        <w:t xml:space="preserve">PIL totale</w:t>
      </w:r>
      <w:r>
        <w:rPr>
          <w:color w:val="374151"/>
          <w:sz w:val="22"/>
          <w:szCs w:val="22"/>
        </w:rPr>
        <w:t xml:space="preserve"> è il predittore più forte (r = 0.54), molto più del PIL pro capite (r = 0.24). Conta la dimensione assoluta dell'economia, non la ricchezza per abitante.</w:t>
      </w:r>
    </w:p>
    <w:p>
      <w:pPr>
        <w:spacing w:after="60"/>
        <w:jc w:val="center"/>
      </w:pPr>
      <w:r>
        <w:drawing>
          <wp:inline distT="0" distB="0" distL="0" distR="0">
            <wp:extent cx="50482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Correlazione indicatori socioeconomici con medaglie olimpiche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3. PIL totale vs Medaglie — scatter per decennio</w:t>
      </w:r>
    </w:p>
    <w:p>
      <w:pPr>
        <w:spacing w:after="60"/>
        <w:jc w:val="center"/>
      </w:pPr>
      <w:r>
        <w:drawing>
          <wp:inline distT="0" distB="0" distL="0" distR="0">
            <wp:extent cx="50482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Scatter PIL totale (log) vs Medaglie con regressione OLS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4. Stabilità della relazione nel tempo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I boicottaggi del 1980 e 1984 distorcono il segnale. Dal 1992 le correlazioni tornano stabili.</w:t>
      </w:r>
    </w:p>
    <w:p>
      <w:pPr>
        <w:spacing w:after="60"/>
        <w:jc w:val="center"/>
      </w:pPr>
      <w:r>
        <w:drawing>
          <wp:inline distT="0" distB="0" distL="0" distR="0">
            <wp:extent cx="5048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Correlazioni nel tempo: calo visibile nei boicottaggi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5. La crescita del medagliere</w:t>
      </w:r>
    </w:p>
    <w:p>
      <w:pPr>
        <w:spacing w:after="60"/>
        <w:jc w:val="center"/>
      </w:pPr>
      <w:r>
        <w:drawing>
          <wp:inline distT="0" distB="0" distL="0" distR="0">
            <wp:extent cx="50482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Medaglie assegnate per edizione (1964-2020): quasi raddoppiate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6. Top 5 paesi storici</w:t>
      </w:r>
    </w:p>
    <w:p>
      <w:pPr>
        <w:spacing w:after="60"/>
        <w:jc w:val="center"/>
      </w:pPr>
      <w:r>
        <w:drawing>
          <wp:inline distT="0" distB="0" distL="0" distR="0">
            <wp:extent cx="50482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Top 5 paesi: USA, URSS, Cina, Gran Bretagna, Germania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7. Medaglie per milione di abitanti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Normalizzando per la popolazione, USA, Cina e Russia spariscono dalla top 20. Emergono Giamaica, Cuba, Ungheria.</w:t>
      </w:r>
    </w:p>
    <w:p>
      <w:pPr>
        <w:spacing w:after="60"/>
        <w:jc w:val="center"/>
      </w:pPr>
      <w:r>
        <w:drawing>
          <wp:inline distT="0" distB="0" distL="0" distR="0">
            <wp:extent cx="50482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Top 20 paesi per medaglie per milione di abitanti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8. Chi vince più o meno di quanto il PIL prevede?</w:t>
      </w:r>
    </w:p>
    <w:p>
      <w:pPr>
        <w:spacing w:after="60"/>
        <w:jc w:val="center"/>
      </w:pPr>
      <w:r>
        <w:drawing>
          <wp:inline distT="0" distB="0" distL="0" distR="0">
            <wp:extent cx="50482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Over e underperformers rispetto alla regressione PIL-medaglie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9. Top 20 paesi storici</w:t>
      </w:r>
    </w:p>
    <w:p>
      <w:pPr>
        <w:spacing w:after="60"/>
        <w:jc w:val="center"/>
      </w:pPr>
      <w:r>
        <w:drawing>
          <wp:inline distT="0" distB="0" distL="0" distR="0">
            <wp:extent cx="504825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Top 20 paesi per medaglie totali 1964-2020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10. Focus Italia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378 medaglie totali, media 25.2 per edizione, record a Tokyo 2020 con 40 medaglie.</w:t>
      </w:r>
    </w:p>
    <w:p>
      <w:pPr>
        <w:spacing w:after="60"/>
        <w:jc w:val="center"/>
      </w:pPr>
      <w:r>
        <w:drawing>
          <wp:inline distT="0" distB="0" distL="0" distR="0">
            <wp:extent cx="5048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Italia: medaglie vs PIL pro capite (1964-2020)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2"/>
      </w:pPr>
      <w:r>
        <w:t xml:space="preserve">In sintesi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4600"/>
        <w:gridCol w:w="4600"/>
      </w:tblGrid>
      <w:tr>
        <w:tc>
          <w:tcPr>
            <w:tcW w:type="dxa" w:w="46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dxa" w:w="46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 con medaglie</w:t>
            </w:r>
          </w:p>
        </w:tc>
      </w:tr>
      <w:tr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log(PIL totale)</w:t>
            </w:r>
          </w:p>
        </w:tc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0D9488"/>
                <w:sz w:val="20"/>
                <w:szCs w:val="20"/>
              </w:rPr>
              <w:t xml:space="preserve">r = 0.54 — predittore più forte</w:t>
            </w:r>
          </w:p>
        </w:tc>
      </w:tr>
      <w:tr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log(Popolazione)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0.45</w:t>
            </w:r>
          </w:p>
        </w:tc>
      </w:tr>
      <w:tr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log(PIL pro capite)</w:t>
            </w:r>
          </w:p>
        </w:tc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0.24 — sorprendentemente debole</w:t>
            </w:r>
          </w:p>
        </w:tc>
      </w:tr>
      <w:tr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Aspettativa di vita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0.23</w:t>
            </w:r>
          </w:p>
        </w:tc>
      </w:tr>
      <w:tr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% Urbanizzazione</w:t>
            </w:r>
          </w:p>
        </w:tc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0.22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Nota metodologica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Correlazioni calcolate sui soli paesi vincitori (medaglie &gt; 0). Variabili economiche in scala logaritmica.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0A2342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rFonts w:ascii="Calibri" w:cs="Calibri" w:eastAsia="Calibri" w:hAnsi="Calibri"/>
      <w:b/>
      <w:bCs/>
      <w:color w:val="1A6B9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b041deffe592ce6bfea275390fa693be63a44b.png"/><Relationship Id="rId8" Type="http://schemas.openxmlformats.org/officeDocument/2006/relationships/image" Target="media/625fa416022087fc8d54a63fbe6e729eab579ea4.png"/><Relationship Id="rId9" Type="http://schemas.openxmlformats.org/officeDocument/2006/relationships/image" Target="media/1c38560b9f3ec225d6a288bab634f6aac0db3aba.png"/><Relationship Id="rId10" Type="http://schemas.openxmlformats.org/officeDocument/2006/relationships/image" Target="media/89efa9c56eb27c5080a1669be4e16d3aaebb7805.png"/><Relationship Id="rId11" Type="http://schemas.openxmlformats.org/officeDocument/2006/relationships/image" Target="media/5dd1968515bdd0f06ccdea353d1301bc69d9506a.png"/><Relationship Id="rId12" Type="http://schemas.openxmlformats.org/officeDocument/2006/relationships/image" Target="media/fd2857da9f492c78260087666917bc7eaa3cd718.png"/><Relationship Id="rId13" Type="http://schemas.openxmlformats.org/officeDocument/2006/relationships/image" Target="media/ecd3e67831c2a90b5e71c8ad1ea045a301f47d44.png"/><Relationship Id="rId14" Type="http://schemas.openxmlformats.org/officeDocument/2006/relationships/image" Target="media/df88d0bdbe43d9ce1d22a971664d75aa1507a7a2.png"/><Relationship Id="rId15" Type="http://schemas.openxmlformats.org/officeDocument/2006/relationships/image" Target="media/7dc91939caa259c94e46ed678ef34525ba1fd620.png"/><Relationship Id="rId16" Type="http://schemas.openxmlformats.org/officeDocument/2006/relationships/image" Target="media/136d6c3b4e03136e69f1bf550ec7d5d9230530c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2026-07-21T12:11:02.580Z</dcterms:created>
  <dcterms:modified xsi:type="dcterms:W3CDTF">2026-07-21T12:11:02.595Z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