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9488" w:sz="8" w:space="6"/>
        </w:pBdr>
        <w:spacing w:after="80" w:before="0"/>
      </w:pPr>
      <w:r>
        <w:rPr>
          <w:b/>
          <w:bCs/>
          <w:color w:val="0A2342"/>
          <w:sz w:val="52"/>
          <w:szCs w:val="52"/>
        </w:rPr>
        <w:t xml:space="preserve">Chi salirà sul podio a Los Angeles?</w:t>
      </w:r>
    </w:p>
    <w:p>
      <w:pPr>
        <w:spacing w:after="240"/>
      </w:pPr>
      <w:r>
        <w:rPr>
          <w:i/>
          <w:iCs/>
          <w:color w:val="374151"/>
          <w:sz w:val="24"/>
          <w:szCs w:val="24"/>
        </w:rPr>
        <w:t xml:space="preserve">Machine Learning, causalità e previsioni per i Giochi Olimpici del 2028</w:t>
      </w:r>
    </w:p>
    <w:p>
      <w:pPr>
        <w:pBdr>
          <w:left w:val="single" w:color="0D9488" w:sz="12" w:space="12"/>
        </w:pBdr>
        <w:spacing w:after="200"/>
        <w:ind w:left="240"/>
      </w:pPr>
      <w:r>
        <w:rPr>
          <w:color w:val="374151"/>
          <w:sz w:val="24"/>
          <w:szCs w:val="24"/>
        </w:rPr>
        <w:t xml:space="preserve">Costruiamo modelli predittivi, testiamo la causalità con il Difference-in-Differences, clusterizziamo i 218 paesi e stimiamo il medagliere di Los Angeles 2028.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1. Confronto 5 modelli predittivi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Random Forest: R² = 0.77 in cross-validation, R² = 0.89 su Tokyo 2020 (out-of-sample), MAE = 3.7 medaglie per paese.</w:t>
      </w:r>
    </w:p>
    <w:p>
      <w:pPr>
        <w:spacing w:after="60"/>
        <w:jc w:val="center"/>
      </w:pPr>
      <w:r>
        <w:drawing>
          <wp:inline distT="0" distB="0" distL="0" distR="0">
            <wp:extent cx="504825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Confronto R² (CV 5-fold) tra 5 algoritmi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2. Feature Importance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Le medaglie del ciclo precedente (prev_medaglie) pesano il 46%. I sistemi sportivi sono inerti.</w:t>
      </w:r>
    </w:p>
    <w:p>
      <w:pPr>
        <w:spacing w:after="60"/>
        <w:jc w:val="center"/>
      </w:pPr>
      <w:r>
        <w:drawing>
          <wp:inline distT="0" distB="0" distL="0" distR="0">
            <wp:extent cx="504825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Feature importance del Random Forest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3. Previsto vs Reale — Tokyo 2020</w:t>
      </w:r>
    </w:p>
    <w:p>
      <w:pPr>
        <w:spacing w:after="60"/>
        <w:jc w:val="center"/>
      </w:pPr>
      <w:r>
        <w:drawing>
          <wp:inline distT="0" distB="0" distL="0" distR="0">
            <wp:extent cx="504825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Random Forest: previsto vs reale su Tokyo 2020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4. Errore del modello per fascia</w:t>
      </w:r>
    </w:p>
    <w:p>
      <w:pPr>
        <w:spacing w:after="60"/>
        <w:jc w:val="center"/>
      </w:pPr>
      <w:r>
        <w:drawing>
          <wp:inline distT="0" distB="0" distL="0" distR="0">
            <wp:extent cx="504825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MAE per fascia di medaglie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5. Difference-in-Differences — analisi causale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Chi aumenta la spesa di oltre il 40% guadagna in media +12.8 medaglie rispetto a chi taglia.</w:t>
      </w:r>
    </w:p>
    <w:p>
      <w:pPr>
        <w:spacing w:after="60"/>
        <w:jc w:val="center"/>
      </w:pPr>
      <w:r>
        <w:drawing>
          <wp:inline distT="0" distB="0" distL="0" distR="0">
            <wp:extent cx="50482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DiD SPLISS Tokyo-Paris: variazione spesa vs variazione medaglie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6. Quattro profili olimpici — KMeans</w:t>
      </w:r>
    </w:p>
    <w:p>
      <w:pPr>
        <w:spacing w:after="60"/>
        <w:jc w:val="center"/>
      </w:pPr>
      <w:r>
        <w:drawing>
          <wp:inline distT="0" distB="0" distL="0" distR="0">
            <wp:extent cx="50482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Quattro profili olimpici: scatter cluster KMeans</w:t>
      </w:r>
    </w:p>
    <w:p>
      <w:pPr>
        <w:spacing w:after="60"/>
        <w:jc w:val="center"/>
      </w:pPr>
      <w:r>
        <w:drawing>
          <wp:inline distT="0" distB="0" distL="0" distR="0">
            <wp:extent cx="504825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Heatmap dei profili cluster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7. Previsioni Los Angeles 2028 con intervallo di confidenza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Paese</w:t>
            </w:r>
          </w:p>
        </w:tc>
        <w:tc>
          <w:tcPr>
            <w:tcW w:type="dxa" w:w="23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Paris 2024</w:t>
            </w:r>
          </w:p>
        </w:tc>
        <w:tc>
          <w:tcPr>
            <w:tcW w:type="dxa" w:w="23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 2028 (prev.)</w:t>
            </w:r>
          </w:p>
        </w:tc>
        <w:tc>
          <w:tcPr>
            <w:tcW w:type="dxa" w:w="23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 10-90%</w:t>
            </w:r>
          </w:p>
        </w:tc>
      </w:tr>
      <w:tr>
        <w:tc>
          <w:tcPr>
            <w:tcW w:type="dxa" w:w="23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3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126</w:t>
            </w:r>
          </w:p>
        </w:tc>
        <w:tc>
          <w:tcPr>
            <w:tcW w:type="dxa" w:w="23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100</w:t>
            </w:r>
          </w:p>
        </w:tc>
        <w:tc>
          <w:tcPr>
            <w:tcW w:type="dxa" w:w="23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[94, 106]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China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91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91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[70, 104]</w:t>
            </w:r>
          </w:p>
        </w:tc>
      </w:tr>
      <w:tr>
        <w:tc>
          <w:tcPr>
            <w:tcW w:type="dxa" w:w="23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Great Britain</w:t>
            </w:r>
          </w:p>
        </w:tc>
        <w:tc>
          <w:tcPr>
            <w:tcW w:type="dxa" w:w="23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65</w:t>
            </w:r>
          </w:p>
        </w:tc>
        <w:tc>
          <w:tcPr>
            <w:tcW w:type="dxa" w:w="23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66</w:t>
            </w:r>
          </w:p>
        </w:tc>
        <w:tc>
          <w:tcPr>
            <w:tcW w:type="dxa" w:w="23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[45, 96]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France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66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62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[43, 84]</w:t>
            </w:r>
          </w:p>
        </w:tc>
      </w:tr>
      <w:tr>
        <w:tc>
          <w:tcPr>
            <w:tcW w:type="dxa" w:w="23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Italy</w:t>
            </w:r>
          </w:p>
        </w:tc>
        <w:tc>
          <w:tcPr>
            <w:tcW w:type="dxa" w:w="23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40</w:t>
            </w:r>
          </w:p>
        </w:tc>
        <w:tc>
          <w:tcPr>
            <w:tcW w:type="dxa" w:w="23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35</w:t>
            </w:r>
          </w:p>
        </w:tc>
        <w:tc>
          <w:tcPr>
            <w:tcW w:type="dxa" w:w="2300"/>
            <w:shd w:fill="F1F5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color w:val="374151"/>
                <w:sz w:val="20"/>
                <w:szCs w:val="20"/>
              </w:rPr>
              <w:t xml:space="preserve">[28, 44]</w:t>
            </w:r>
          </w:p>
        </w:tc>
      </w:tr>
    </w:tbl>
    <w:p>
      <w:pPr>
        <w:spacing w:after="60"/>
        <w:jc w:val="center"/>
      </w:pPr>
      <w:r>
        <w:drawing>
          <wp:inline distT="0" distB="0" distL="0" distR="0">
            <wp:extent cx="504825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Previsioni LA 2028 con intervallo di confidenza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8. Scenario analysis</w:t>
      </w:r>
    </w:p>
    <w:p>
      <w:pPr>
        <w:spacing w:after="60"/>
        <w:jc w:val="center"/>
      </w:pPr>
      <w:r>
        <w:drawing>
          <wp:inline distT="0" distB="0" distL="0" distR="0">
            <wp:extent cx="504825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Scenario ottimistico / base / pessimistico per LA 2028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1"/>
        <w:pBdr>
          <w:bottom w:val="single" w:color="0D9488" w:sz="6" w:space="4"/>
        </w:pBdr>
      </w:pPr>
      <w:r>
        <w:t xml:space="preserve">9. Focus Italia</w:t>
      </w:r>
    </w:p>
    <w:p>
      <w:pPr>
        <w:spacing w:after="60"/>
        <w:jc w:val="center"/>
      </w:pPr>
      <w:r>
        <w:drawing>
          <wp:inline distT="0" distB="0" distL="0" distR="0">
            <wp:extent cx="50482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94A3B8"/>
          <w:sz w:val="18"/>
          <w:szCs w:val="18"/>
        </w:rPr>
        <w:t xml:space="preserve">Italia: medaglie e % ori per edizione (1964-2020)</w:t>
      </w:r>
    </w:p>
    <w:p>
      <w:pPr>
        <w:pBdr>
          <w:bottom w:val="single" w:color="CBD5E1" w:sz="4" w:space="4"/>
        </w:pBdr>
        <w:spacing w:after="200"/>
      </w:pPr>
    </w:p>
    <w:p>
      <w:pPr>
        <w:pStyle w:val="Heading2"/>
      </w:pPr>
      <w:r>
        <w:t xml:space="preserve">Risposta alla domanda di ricerca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60"/>
        </w:tblCellMar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16A34A" w:sz="18"/>
              <w:bottom w:val="none"/>
              <w:right w:val="none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i/>
                <w:iCs/>
                <w:color w:val="374151"/>
                <w:sz w:val="20"/>
                <w:szCs w:val="20"/>
              </w:rPr>
              <w:t xml:space="preserve">Si — gli investimenti in infrastrutture sportive producono medaglie olimpiche. Le evidenze sono coerenti su piu livelli, nazioni e periodi. Il meccanismo: investimento, strutture e atleti, medaglie nel ciclo successivo (lag 4-8 anni).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Nota metodologica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Previsioni con trend economici stabili e nessun evento geopolitico straordinario. CI derivato dalla dispersione dei 300 alberi RF. Modello non include spesa élite come feature (campione SPLISS troppo piccolo per training).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0A2342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80"/>
    </w:pPr>
    <w:rPr>
      <w:rFonts w:ascii="Calibri" w:cs="Calibri" w:eastAsia="Calibri" w:hAnsi="Calibri"/>
      <w:b/>
      <w:bCs/>
      <w:color w:val="1A6B9A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</w:pPr>
    <w:rPr>
      <w:rFonts w:ascii="Calibri" w:cs="Calibri" w:eastAsia="Calibri" w:hAnsi="Calibri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1724560126f44344116373c12e26bbbf74d141.png"/><Relationship Id="rId8" Type="http://schemas.openxmlformats.org/officeDocument/2006/relationships/image" Target="media/c022b247e8209efcf07dd3b10a2162cb88fe4628.png"/><Relationship Id="rId9" Type="http://schemas.openxmlformats.org/officeDocument/2006/relationships/image" Target="media/c338c1dc482d9f6d84f1c92d8bb62c3736d26b73.png"/><Relationship Id="rId10" Type="http://schemas.openxmlformats.org/officeDocument/2006/relationships/image" Target="media/4f34e1b4d5c190d301d5346bd8b2601aadf2411f.png"/><Relationship Id="rId11" Type="http://schemas.openxmlformats.org/officeDocument/2006/relationships/image" Target="media/f70789cfa98bcfe22b178ba20fdbc0420199c9b1.png"/><Relationship Id="rId12" Type="http://schemas.openxmlformats.org/officeDocument/2006/relationships/image" Target="media/2b8acc92df48b28e77772b9db3b08443c64b8f7a.png"/><Relationship Id="rId13" Type="http://schemas.openxmlformats.org/officeDocument/2006/relationships/image" Target="media/ab6ac8f03689d6baafb040a944857c91092339ab.png"/><Relationship Id="rId14" Type="http://schemas.openxmlformats.org/officeDocument/2006/relationships/image" Target="media/c74509aa41f052688510d0c56c1fbabd9c4fa3b8.png"/><Relationship Id="rId15" Type="http://schemas.openxmlformats.org/officeDocument/2006/relationships/image" Target="media/303c2d557dea9ec8e8c6f5f0466ea366f1394dc9.png"/><Relationship Id="rId16" Type="http://schemas.openxmlformats.org/officeDocument/2006/relationships/image" Target="media/6bb73a44ef45c66a9c16846a3efee9027ddca72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2026-07-21T12:11:02.930Z</dcterms:created>
  <dcterms:modified xsi:type="dcterms:W3CDTF">2026-07-21T12:11:02.930Z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